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2B73EE3">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32FFB1DA" w:rsidR="00F445B1" w:rsidRPr="00F95BC9" w:rsidRDefault="00977ADD" w:rsidP="004A6D2F">
            <w:pPr>
              <w:rPr>
                <w:rStyle w:val="Firstpagetablebold"/>
              </w:rPr>
            </w:pPr>
            <w:r>
              <w:rPr>
                <w:rStyle w:val="Firstpagetablebold"/>
              </w:rPr>
              <w:t>Council</w:t>
            </w:r>
          </w:p>
        </w:tc>
      </w:tr>
      <w:tr w:rsidR="00CE544A" w:rsidRPr="00975B07" w14:paraId="705FA4FB" w14:textId="77777777" w:rsidTr="62B73EE3">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2C733100" w:rsidR="00F445B1" w:rsidRPr="009E30E2" w:rsidRDefault="00C9158E" w:rsidP="62B73EE3">
            <w:pPr>
              <w:rPr>
                <w:b/>
                <w:bCs/>
                <w:color w:val="auto"/>
              </w:rPr>
            </w:pPr>
            <w:r>
              <w:rPr>
                <w:rStyle w:val="Firstpagetablebold"/>
                <w:rFonts w:cs="Arial"/>
                <w:b w:val="0"/>
                <w:color w:val="auto"/>
              </w:rPr>
              <w:t>14 July 2025</w:t>
            </w:r>
          </w:p>
        </w:tc>
      </w:tr>
      <w:tr w:rsidR="00CE544A" w:rsidRPr="00975B07" w14:paraId="7AED9E48" w14:textId="77777777" w:rsidTr="62B73EE3">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02E73926" w:rsidR="00F445B1" w:rsidRPr="009E30E2" w:rsidRDefault="00977ADD" w:rsidP="004A6D2F">
            <w:pPr>
              <w:rPr>
                <w:rStyle w:val="Firstpagetablebold"/>
                <w:color w:val="auto"/>
              </w:rPr>
            </w:pPr>
            <w:r>
              <w:rPr>
                <w:rStyle w:val="Firstpagetablebold"/>
                <w:rFonts w:cs="Arial"/>
                <w:b w:val="0"/>
                <w:color w:val="auto"/>
              </w:rPr>
              <w:t>Director of Law, Governance and Strategy (Monitoring Officer)</w:t>
            </w:r>
          </w:p>
        </w:tc>
      </w:tr>
      <w:tr w:rsidR="00CE544A" w:rsidRPr="00975B07" w14:paraId="312CDF01" w14:textId="77777777" w:rsidTr="62B73EE3">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11E1FA04" w:rsidR="00F445B1" w:rsidRPr="009E30E2" w:rsidRDefault="00977ADD" w:rsidP="004A6D2F">
            <w:pPr>
              <w:rPr>
                <w:rStyle w:val="Firstpagetablebold"/>
                <w:color w:val="auto"/>
              </w:rPr>
            </w:pPr>
            <w:r>
              <w:rPr>
                <w:rStyle w:val="Firstpagetablebold"/>
                <w:rFonts w:cs="Arial"/>
                <w:b w:val="0"/>
                <w:color w:val="auto"/>
              </w:rPr>
              <w:t xml:space="preserve">Updates to Constitution </w:t>
            </w:r>
            <w:r w:rsidR="00822693">
              <w:rPr>
                <w:rStyle w:val="Firstpagetablebold"/>
                <w:rFonts w:cs="Arial"/>
                <w:b w:val="0"/>
                <w:color w:val="auto"/>
              </w:rPr>
              <w:t xml:space="preserve">– </w:t>
            </w:r>
            <w:r w:rsidR="0016710D">
              <w:rPr>
                <w:rStyle w:val="Firstpagetablebold"/>
                <w:rFonts w:cs="Arial"/>
                <w:b w:val="0"/>
                <w:color w:val="auto"/>
              </w:rPr>
              <w:t>July 2025</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0080749A">
        <w:tc>
          <w:tcPr>
            <w:tcW w:w="8845" w:type="dxa"/>
            <w:gridSpan w:val="2"/>
            <w:tcBorders>
              <w:bottom w:val="single" w:sz="8" w:space="0" w:color="000000"/>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0080749A">
        <w:tc>
          <w:tcPr>
            <w:tcW w:w="2438" w:type="dxa"/>
            <w:tcBorders>
              <w:top w:val="single" w:sz="8" w:space="0" w:color="000000"/>
              <w:left w:val="single" w:sz="8" w:space="0" w:color="000000"/>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left w:val="nil"/>
              <w:bottom w:val="nil"/>
              <w:right w:val="single" w:sz="8" w:space="0" w:color="000000"/>
            </w:tcBorders>
            <w:hideMark/>
          </w:tcPr>
          <w:p w14:paraId="419B6548" w14:textId="753B1199" w:rsidR="00D5547E" w:rsidRPr="009E30E2" w:rsidRDefault="00800BDD" w:rsidP="00DB7AD7">
            <w:pPr>
              <w:rPr>
                <w:color w:val="auto"/>
              </w:rPr>
            </w:pPr>
            <w:r>
              <w:rPr>
                <w:color w:val="auto"/>
              </w:rPr>
              <w:t xml:space="preserve">To seek approval to the updated </w:t>
            </w:r>
            <w:r w:rsidR="00E66D28">
              <w:rPr>
                <w:color w:val="auto"/>
              </w:rPr>
              <w:t>Committee procedures</w:t>
            </w:r>
            <w:r w:rsidR="006F5ADA">
              <w:rPr>
                <w:color w:val="auto"/>
              </w:rPr>
              <w:t xml:space="preserve"> in the relevant sections of the Constitution</w:t>
            </w:r>
            <w:r w:rsidR="00D442A1">
              <w:rPr>
                <w:color w:val="auto"/>
              </w:rPr>
              <w:t xml:space="preserve"> </w:t>
            </w:r>
            <w:r w:rsidR="00D442A1">
              <w:t>and further amendments to the Constitution</w:t>
            </w:r>
            <w:r w:rsidR="00D5547E" w:rsidRPr="009E30E2">
              <w:rPr>
                <w:color w:val="auto"/>
              </w:rPr>
              <w:t>.</w:t>
            </w:r>
          </w:p>
        </w:tc>
      </w:tr>
      <w:tr w:rsidR="00025250" w14:paraId="43BD728D" w14:textId="77777777" w:rsidTr="0080749A">
        <w:tc>
          <w:tcPr>
            <w:tcW w:w="2438" w:type="dxa"/>
            <w:tcBorders>
              <w:top w:val="nil"/>
              <w:left w:val="single" w:sz="8" w:space="0" w:color="000000"/>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cBorders>
            <w:hideMark/>
          </w:tcPr>
          <w:p w14:paraId="1B0C58F5" w14:textId="53411B3A" w:rsidR="00025250" w:rsidRPr="009E30E2" w:rsidRDefault="006F5ADA" w:rsidP="00025250">
            <w:pPr>
              <w:rPr>
                <w:color w:val="auto"/>
              </w:rPr>
            </w:pPr>
            <w:r>
              <w:rPr>
                <w:rFonts w:cs="Arial"/>
                <w:color w:val="auto"/>
              </w:rPr>
              <w:t>No</w:t>
            </w:r>
            <w:r w:rsidR="00025250" w:rsidRPr="009E30E2">
              <w:rPr>
                <w:rFonts w:cs="Arial"/>
                <w:color w:val="auto"/>
              </w:rPr>
              <w:t xml:space="preserve"> </w:t>
            </w:r>
          </w:p>
        </w:tc>
      </w:tr>
      <w:tr w:rsidR="00025250" w14:paraId="10A3E36F" w14:textId="77777777" w:rsidTr="0080749A">
        <w:tc>
          <w:tcPr>
            <w:tcW w:w="2438" w:type="dxa"/>
            <w:tcBorders>
              <w:top w:val="nil"/>
              <w:left w:val="single" w:sz="8" w:space="0" w:color="000000"/>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cBorders>
            <w:hideMark/>
          </w:tcPr>
          <w:p w14:paraId="1E006809" w14:textId="03BE0701" w:rsidR="00025250" w:rsidRPr="009E30E2" w:rsidRDefault="004B4D23" w:rsidP="00025250">
            <w:pPr>
              <w:rPr>
                <w:color w:val="auto"/>
              </w:rPr>
            </w:pPr>
            <w:r>
              <w:rPr>
                <w:color w:val="auto"/>
              </w:rPr>
              <w:t>C</w:t>
            </w:r>
            <w:r>
              <w:t xml:space="preserve">ouncillor Susan Brown, Leader and Cabinet Member for </w:t>
            </w:r>
            <w:r w:rsidR="00D442A1" w:rsidRPr="00492280">
              <w:t>Partnership Working and Inclusive Economic Growth</w:t>
            </w:r>
          </w:p>
        </w:tc>
      </w:tr>
      <w:tr w:rsidR="00025250" w14:paraId="7B700325" w14:textId="77777777" w:rsidTr="0097170F">
        <w:tc>
          <w:tcPr>
            <w:tcW w:w="2438" w:type="dxa"/>
            <w:tcBorders>
              <w:top w:val="nil"/>
              <w:left w:val="single" w:sz="8" w:space="0" w:color="000000"/>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cBorders>
          </w:tcPr>
          <w:p w14:paraId="3DF1AC69" w14:textId="1158CFE7" w:rsidR="00025250" w:rsidRPr="009E30E2" w:rsidRDefault="00822693" w:rsidP="00025250">
            <w:pPr>
              <w:rPr>
                <w:color w:val="auto"/>
              </w:rPr>
            </w:pPr>
            <w:r>
              <w:rPr>
                <w:color w:val="auto"/>
              </w:rPr>
              <w:t>A Well Run Council</w:t>
            </w:r>
            <w:r w:rsidR="00025250" w:rsidRPr="009E30E2">
              <w:rPr>
                <w:color w:val="auto"/>
              </w:rPr>
              <w:t>.</w:t>
            </w:r>
          </w:p>
        </w:tc>
      </w:tr>
      <w:tr w:rsidR="00025250" w14:paraId="63186D5F" w14:textId="77777777" w:rsidTr="0097170F">
        <w:tc>
          <w:tcPr>
            <w:tcW w:w="2438" w:type="dxa"/>
            <w:tcBorders>
              <w:top w:val="nil"/>
              <w:left w:val="single" w:sz="8" w:space="0" w:color="000000"/>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cBorders>
            <w:hideMark/>
          </w:tcPr>
          <w:p w14:paraId="0AA7D163" w14:textId="21AEF9B4" w:rsidR="00025250" w:rsidRPr="009E30E2" w:rsidRDefault="00822693" w:rsidP="00025250">
            <w:pPr>
              <w:rPr>
                <w:color w:val="auto"/>
              </w:rPr>
            </w:pPr>
            <w:r>
              <w:rPr>
                <w:color w:val="auto"/>
              </w:rPr>
              <w:t>None</w:t>
            </w:r>
            <w:r w:rsidR="00025250" w:rsidRPr="009E30E2">
              <w:rPr>
                <w:color w:val="auto"/>
              </w:rPr>
              <w:t>.</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62B73EE3">
        <w:trPr>
          <w:trHeight w:val="413"/>
        </w:trPr>
        <w:tc>
          <w:tcPr>
            <w:tcW w:w="8845" w:type="dxa"/>
            <w:gridSpan w:val="2"/>
            <w:tcBorders>
              <w:bottom w:val="single" w:sz="8" w:space="0" w:color="000000" w:themeColor="text1"/>
            </w:tcBorders>
          </w:tcPr>
          <w:p w14:paraId="18FB24CC" w14:textId="4FF911C6" w:rsidR="00025250" w:rsidRPr="00975B07" w:rsidRDefault="00025250" w:rsidP="00FD0B08">
            <w:r w:rsidRPr="62B73EE3">
              <w:rPr>
                <w:rStyle w:val="Firstpagetablebold"/>
              </w:rPr>
              <w:t>Recommendation(s):</w:t>
            </w:r>
            <w:r w:rsidR="571C62E4" w:rsidRPr="62B73EE3">
              <w:rPr>
                <w:rStyle w:val="Firstpagetablebold"/>
              </w:rPr>
              <w:t xml:space="preserve"> </w:t>
            </w:r>
            <w:r w:rsidRPr="62B73EE3">
              <w:rPr>
                <w:rStyle w:val="Firstpagetablebold"/>
                <w:b w:val="0"/>
              </w:rPr>
              <w:t xml:space="preserve">That </w:t>
            </w:r>
            <w:r w:rsidRPr="00655983">
              <w:rPr>
                <w:rStyle w:val="Firstpagetablebold"/>
                <w:b w:val="0"/>
              </w:rPr>
              <w:t>C</w:t>
            </w:r>
            <w:r w:rsidR="00655983" w:rsidRPr="00655983">
              <w:rPr>
                <w:rStyle w:val="Firstpagetablebold"/>
                <w:b w:val="0"/>
              </w:rPr>
              <w:t>ouncil</w:t>
            </w:r>
            <w:r w:rsidRPr="62B73EE3">
              <w:rPr>
                <w:rStyle w:val="Firstpagetablebold"/>
                <w:b w:val="0"/>
              </w:rPr>
              <w:t xml:space="preserve"> resolves to:</w:t>
            </w:r>
          </w:p>
        </w:tc>
      </w:tr>
      <w:tr w:rsidR="00025250" w:rsidRPr="00975B07" w14:paraId="128A7C0D" w14:textId="77777777" w:rsidTr="62B73EE3">
        <w:trPr>
          <w:trHeight w:val="283"/>
        </w:trPr>
        <w:tc>
          <w:tcPr>
            <w:tcW w:w="426" w:type="dxa"/>
            <w:tcBorders>
              <w:top w:val="single" w:sz="8" w:space="0" w:color="000000" w:themeColor="text1"/>
              <w:left w:val="single" w:sz="8" w:space="0" w:color="000000" w:themeColor="text1"/>
              <w:bottom w:val="nil"/>
              <w:right w:val="nil"/>
            </w:tcBorders>
          </w:tcPr>
          <w:p w14:paraId="4AAB6C58" w14:textId="77777777" w:rsidR="00025250" w:rsidRPr="00975B07" w:rsidRDefault="00025250" w:rsidP="00FD0B08">
            <w:r w:rsidRPr="00975B07">
              <w:t>1.</w:t>
            </w:r>
          </w:p>
        </w:tc>
        <w:tc>
          <w:tcPr>
            <w:tcW w:w="8419" w:type="dxa"/>
            <w:tcBorders>
              <w:top w:val="single" w:sz="8" w:space="0" w:color="000000" w:themeColor="text1"/>
              <w:left w:val="nil"/>
              <w:bottom w:val="nil"/>
              <w:right w:val="single" w:sz="8" w:space="0" w:color="000000" w:themeColor="text1"/>
            </w:tcBorders>
            <w:shd w:val="clear" w:color="auto" w:fill="auto"/>
          </w:tcPr>
          <w:p w14:paraId="2D683A1F" w14:textId="23D75E8F" w:rsidR="00025250" w:rsidRPr="001356F1" w:rsidRDefault="00655983" w:rsidP="00FD0B08">
            <w:r>
              <w:rPr>
                <w:rStyle w:val="Firstpagetablebold"/>
              </w:rPr>
              <w:t>App</w:t>
            </w:r>
            <w:r w:rsidR="001A77DA">
              <w:rPr>
                <w:rStyle w:val="Firstpagetablebold"/>
              </w:rPr>
              <w:t>r</w:t>
            </w:r>
            <w:r>
              <w:rPr>
                <w:rStyle w:val="Firstpagetablebold"/>
              </w:rPr>
              <w:t>ove</w:t>
            </w:r>
            <w:r>
              <w:rPr>
                <w:rStyle w:val="Firstpagetablebold"/>
                <w:b w:val="0"/>
                <w:bCs/>
              </w:rPr>
              <w:t xml:space="preserve"> the </w:t>
            </w:r>
            <w:r w:rsidR="0085292E" w:rsidRPr="0085292E">
              <w:rPr>
                <w:rStyle w:val="Firstpagetablebold"/>
                <w:b w:val="0"/>
                <w:bCs/>
              </w:rPr>
              <w:t>u</w:t>
            </w:r>
            <w:r w:rsidR="0085292E">
              <w:rPr>
                <w:rStyle w:val="Firstpagetablebold"/>
                <w:b w:val="0"/>
                <w:bCs/>
              </w:rPr>
              <w:t>pdates to the Constitution, as listed in Appendix 1</w:t>
            </w:r>
            <w:r w:rsidR="00160CEB">
              <w:rPr>
                <w:rStyle w:val="Firstpagetablebold"/>
                <w:b w:val="0"/>
                <w:bCs/>
              </w:rPr>
              <w:t>;</w:t>
            </w:r>
          </w:p>
        </w:tc>
      </w:tr>
      <w:tr w:rsidR="00025250" w:rsidRPr="00975B07" w14:paraId="2BFBBF69" w14:textId="77777777" w:rsidTr="62B73EE3">
        <w:trPr>
          <w:trHeight w:val="283"/>
        </w:trPr>
        <w:tc>
          <w:tcPr>
            <w:tcW w:w="426" w:type="dxa"/>
            <w:tcBorders>
              <w:top w:val="nil"/>
              <w:left w:val="single" w:sz="8" w:space="0" w:color="000000" w:themeColor="text1"/>
              <w:bottom w:val="single" w:sz="8" w:space="0" w:color="000000" w:themeColor="text1"/>
              <w:right w:val="nil"/>
            </w:tcBorders>
          </w:tcPr>
          <w:p w14:paraId="328750F8" w14:textId="7F730CAA" w:rsidR="00025250" w:rsidRPr="00975B07" w:rsidRDefault="00F6104C" w:rsidP="00FD0B08">
            <w:r>
              <w:t>2</w:t>
            </w:r>
            <w:r w:rsidR="00025250" w:rsidRPr="00975B07">
              <w:t>.</w:t>
            </w:r>
          </w:p>
        </w:tc>
        <w:tc>
          <w:tcPr>
            <w:tcW w:w="8419" w:type="dxa"/>
            <w:tcBorders>
              <w:top w:val="nil"/>
              <w:left w:val="nil"/>
              <w:bottom w:val="single" w:sz="8" w:space="0" w:color="000000" w:themeColor="text1"/>
              <w:right w:val="single" w:sz="8" w:space="0" w:color="000000" w:themeColor="text1"/>
            </w:tcBorders>
            <w:shd w:val="clear" w:color="auto" w:fill="auto"/>
          </w:tcPr>
          <w:p w14:paraId="0C3A19C8" w14:textId="53ABD6E5" w:rsidR="00025250" w:rsidRPr="00F6104C" w:rsidRDefault="00F6104C" w:rsidP="00FD0B08">
            <w:pPr>
              <w:rPr>
                <w:bCs/>
              </w:rPr>
            </w:pPr>
            <w:r>
              <w:rPr>
                <w:rStyle w:val="Firstpagetablebold"/>
              </w:rPr>
              <w:t>Delegate</w:t>
            </w:r>
            <w:r>
              <w:rPr>
                <w:rStyle w:val="Firstpagetablebold"/>
                <w:b w:val="0"/>
                <w:bCs/>
              </w:rPr>
              <w:t xml:space="preserve"> authority to the </w:t>
            </w:r>
            <w:r w:rsidR="00AA37B6">
              <w:rPr>
                <w:rStyle w:val="Firstpagetablebold"/>
                <w:b w:val="0"/>
                <w:bCs/>
              </w:rPr>
              <w:t>Monitoring Officer</w:t>
            </w:r>
            <w:r>
              <w:rPr>
                <w:rStyle w:val="Firstpagetablebold"/>
                <w:b w:val="0"/>
                <w:bCs/>
              </w:rPr>
              <w:t xml:space="preserve"> to</w:t>
            </w:r>
            <w:r w:rsidR="00AA37B6" w:rsidRPr="00AA37B6">
              <w:rPr>
                <w:bCs/>
              </w:rPr>
              <w:t xml:space="preserve"> make any other consequential amendments to the Constitution to reflect the changes</w:t>
            </w:r>
            <w:r w:rsidR="00AA37B6">
              <w:rPr>
                <w:bCs/>
              </w:rPr>
              <w:t xml:space="preserve"> </w:t>
            </w:r>
            <w:r w:rsidR="00AA37B6">
              <w:t>in appendix 1</w:t>
            </w:r>
            <w:r w:rsidR="00AA37B6" w:rsidRPr="00AA37B6">
              <w:rPr>
                <w:bCs/>
              </w:rPr>
              <w:t xml:space="preserve"> to the extent that they have not been identified in the above, provided such changes are purely required as a direct consequence </w:t>
            </w:r>
            <w:r>
              <w:rPr>
                <w:rStyle w:val="Firstpagetablebold"/>
                <w:b w:val="0"/>
                <w:bCs/>
              </w:rPr>
              <w:t xml:space="preserve"> </w:t>
            </w:r>
          </w:p>
        </w:tc>
      </w:tr>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B13E0E" w:rsidRPr="003E4C33" w14:paraId="12E6B551" w14:textId="77777777" w:rsidTr="00FD7816">
        <w:trPr>
          <w:trHeight w:val="300"/>
        </w:trPr>
        <w:tc>
          <w:tcPr>
            <w:tcW w:w="8845" w:type="dxa"/>
            <w:gridSpan w:val="2"/>
            <w:tcBorders>
              <w:bottom w:val="single" w:sz="8" w:space="0" w:color="000000" w:themeColor="text1"/>
            </w:tcBorders>
            <w:hideMark/>
          </w:tcPr>
          <w:p w14:paraId="73F4D6F0" w14:textId="77777777" w:rsidR="00B13E0E" w:rsidRPr="003E4C33" w:rsidRDefault="00B13E0E" w:rsidP="00FD7816">
            <w:pPr>
              <w:jc w:val="center"/>
              <w:rPr>
                <w:rStyle w:val="Firstpagetablebold"/>
                <w:rFonts w:cs="Arial"/>
              </w:rPr>
            </w:pPr>
            <w:r w:rsidRPr="266410C0">
              <w:rPr>
                <w:rStyle w:val="Firstpagetablebold"/>
                <w:rFonts w:cs="Arial"/>
              </w:rPr>
              <w:t xml:space="preserve">Information Exempt From Publication </w:t>
            </w:r>
          </w:p>
        </w:tc>
      </w:tr>
      <w:tr w:rsidR="00B13E0E" w:rsidRPr="003E4C33" w14:paraId="7D116A21" w14:textId="77777777" w:rsidTr="00FD781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single" w:sz="8" w:space="0" w:color="000000" w:themeColor="text1"/>
              <w:right w:val="single" w:sz="4" w:space="0" w:color="auto"/>
            </w:tcBorders>
          </w:tcPr>
          <w:p w14:paraId="37C6AF48" w14:textId="77777777" w:rsidR="00B13E0E" w:rsidRPr="009E30E2" w:rsidRDefault="00B13E0E" w:rsidP="00FD7816">
            <w:pPr>
              <w:rPr>
                <w:rStyle w:val="Firstpagetablebold"/>
                <w:rFonts w:cs="Arial"/>
              </w:rPr>
            </w:pPr>
            <w:r>
              <w:rPr>
                <w:rStyle w:val="Firstpagetablebold"/>
                <w:rFonts w:cs="Arial"/>
                <w:color w:val="auto"/>
              </w:rPr>
              <w:t>N/A</w:t>
            </w:r>
          </w:p>
        </w:tc>
        <w:tc>
          <w:tcPr>
            <w:tcW w:w="6407" w:type="dxa"/>
            <w:tcBorders>
              <w:top w:val="nil"/>
              <w:left w:val="single" w:sz="4" w:space="0" w:color="auto"/>
              <w:bottom w:val="single" w:sz="8" w:space="0" w:color="000000" w:themeColor="text1"/>
              <w:right w:val="single" w:sz="8" w:space="0" w:color="000000" w:themeColor="text1"/>
            </w:tcBorders>
          </w:tcPr>
          <w:p w14:paraId="5C3F223D" w14:textId="77777777" w:rsidR="00B13E0E" w:rsidRPr="00C21EB4" w:rsidRDefault="00B13E0E" w:rsidP="00FD7816">
            <w:pPr>
              <w:ind w:left="360" w:hanging="360"/>
              <w:rPr>
                <w:rFonts w:cs="Arial"/>
              </w:rPr>
            </w:pPr>
            <w:r w:rsidRPr="00C21EB4">
              <w:rPr>
                <w:rFonts w:cs="Arial"/>
              </w:rPr>
              <w:t>N/A</w:t>
            </w: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62B73EE3">
        <w:trPr>
          <w:trHeight w:val="300"/>
        </w:trPr>
        <w:tc>
          <w:tcPr>
            <w:tcW w:w="1912" w:type="dxa"/>
            <w:tcBorders>
              <w:bottom w:val="single" w:sz="4" w:space="0" w:color="auto"/>
            </w:tcBorders>
          </w:tcPr>
          <w:p w14:paraId="06B4268A" w14:textId="77777777" w:rsidR="002312EA" w:rsidRPr="003E4C33" w:rsidRDefault="002312EA" w:rsidP="00FD0B08">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2312EA" w:rsidRPr="003E4C33" w14:paraId="43C48BEB" w14:textId="77777777" w:rsidTr="62B73E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77777777" w:rsidR="002312EA" w:rsidRPr="009E30E2" w:rsidRDefault="002312EA" w:rsidP="00FD0B08">
            <w:pPr>
              <w:rPr>
                <w:rStyle w:val="Firstpagetablebold"/>
                <w:rFonts w:cs="Arial"/>
                <w:color w:val="auto"/>
              </w:rPr>
            </w:pPr>
            <w:r w:rsidRPr="009E30E2">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3E2ED561" w14:textId="1CD99253" w:rsidR="002312EA" w:rsidRPr="009E30E2" w:rsidRDefault="005A39AF" w:rsidP="00FD0B08">
            <w:pPr>
              <w:rPr>
                <w:rFonts w:cs="Arial"/>
                <w:color w:val="auto"/>
              </w:rPr>
            </w:pPr>
            <w:r>
              <w:rPr>
                <w:rFonts w:cs="Arial"/>
                <w:color w:val="auto"/>
              </w:rPr>
              <w:t>L</w:t>
            </w:r>
            <w:r w:rsidRPr="005A39AF">
              <w:rPr>
                <w:rFonts w:cs="Arial"/>
                <w:color w:val="auto"/>
              </w:rPr>
              <w:t>ist of proposed amendments to the Constitution</w:t>
            </w:r>
          </w:p>
        </w:tc>
        <w:tc>
          <w:tcPr>
            <w:tcW w:w="4455" w:type="dxa"/>
            <w:tcBorders>
              <w:top w:val="single" w:sz="4" w:space="0" w:color="auto"/>
              <w:left w:val="single" w:sz="4" w:space="0" w:color="auto"/>
              <w:bottom w:val="single" w:sz="4" w:space="0" w:color="auto"/>
              <w:right w:val="single" w:sz="4" w:space="0" w:color="auto"/>
            </w:tcBorders>
          </w:tcPr>
          <w:p w14:paraId="349B4576" w14:textId="39B38225" w:rsidR="002312EA" w:rsidRPr="009E30E2" w:rsidRDefault="00574E3F" w:rsidP="00FD0B08">
            <w:pPr>
              <w:ind w:left="18" w:hanging="18"/>
              <w:rPr>
                <w:rFonts w:cs="Arial"/>
                <w:color w:val="auto"/>
              </w:rPr>
            </w:pPr>
            <w:r>
              <w:rPr>
                <w:rFonts w:cs="Arial"/>
                <w:color w:val="auto"/>
              </w:rPr>
              <w:t>No</w:t>
            </w:r>
          </w:p>
        </w:tc>
      </w:tr>
    </w:tbl>
    <w:p w14:paraId="572B1CF3" w14:textId="77777777" w:rsidR="002312EA" w:rsidRDefault="002312EA" w:rsidP="004A6D2F"/>
    <w:p w14:paraId="6D36DF5B" w14:textId="77777777" w:rsidR="00027E6F" w:rsidRDefault="00027E6F" w:rsidP="004A6D2F"/>
    <w:p w14:paraId="0C12C5A3" w14:textId="77777777" w:rsidR="00027E6F" w:rsidRDefault="00027E6F" w:rsidP="004A6D2F"/>
    <w:p w14:paraId="50E21B3B" w14:textId="77777777" w:rsidR="0040736F" w:rsidRPr="001356F1" w:rsidRDefault="00F66DCA" w:rsidP="00D30C99">
      <w:pPr>
        <w:pStyle w:val="Heading1"/>
      </w:pPr>
      <w:r w:rsidRPr="001356F1">
        <w:lastRenderedPageBreak/>
        <w:t>Introduction and b</w:t>
      </w:r>
      <w:r w:rsidR="00151888" w:rsidRPr="001356F1">
        <w:t>ackground</w:t>
      </w:r>
      <w:r w:rsidR="00404032" w:rsidRPr="001356F1">
        <w:t xml:space="preserve"> </w:t>
      </w:r>
    </w:p>
    <w:p w14:paraId="59D83607" w14:textId="77777777" w:rsidR="005F4D27" w:rsidRDefault="005F4D27" w:rsidP="00D30C99">
      <w:pPr>
        <w:pStyle w:val="ListParagraph"/>
        <w:numPr>
          <w:ilvl w:val="0"/>
          <w:numId w:val="37"/>
        </w:numPr>
      </w:pPr>
      <w:r>
        <w:t xml:space="preserve">The Constitution forms a key part of the Council’s governance framework, setting rules, principles and procedures to enable the Council to take decisions and do its work effectively.  </w:t>
      </w:r>
    </w:p>
    <w:p w14:paraId="569D9E88" w14:textId="49478884" w:rsidR="005F4D27" w:rsidRDefault="005F4D27" w:rsidP="5CED5152">
      <w:pPr>
        <w:pStyle w:val="ListParagraph"/>
      </w:pPr>
      <w:r>
        <w:t>The Constitution is reviewed annually to ensure that it continues to properly reflect the law and meet the needs of the Council. This is both a tidying up exercise and an opportunity to respond to governance changes and issues that have arisen since the previous review.</w:t>
      </w:r>
      <w:r w:rsidR="594FB190">
        <w:t xml:space="preserve"> There will be a further review of the specific operational parts in due course, including the Financial Rules, rules concerning property transactions and other embedde</w:t>
      </w:r>
      <w:r w:rsidR="2E9F7FB8">
        <w:t xml:space="preserve">d policies and procedures. Due to the size of the constitution, it has needed to be done by this iterative approach. </w:t>
      </w:r>
    </w:p>
    <w:p w14:paraId="77D7A823" w14:textId="6BA71477" w:rsidR="005F4D27" w:rsidRDefault="005F4D27" w:rsidP="00D30C99">
      <w:pPr>
        <w:pStyle w:val="ListParagraph"/>
        <w:numPr>
          <w:ilvl w:val="0"/>
          <w:numId w:val="37"/>
        </w:numPr>
      </w:pPr>
      <w:r>
        <w:t>A Cross-Party Constitution Review Working Group (“the Group”) was formed</w:t>
      </w:r>
      <w:r w:rsidR="005D777B">
        <w:t xml:space="preserve">, as per section </w:t>
      </w:r>
      <w:r w:rsidR="006A16DD">
        <w:t>2.4 of the Constitution</w:t>
      </w:r>
      <w:r>
        <w:t xml:space="preserve"> to consider suggestions from officers and elected members and shape the proposals before consideration by Full Council. The Group membership included: </w:t>
      </w:r>
      <w:r w:rsidR="001F60FE">
        <w:t xml:space="preserve">Councillors </w:t>
      </w:r>
      <w:r w:rsidR="00CB51FE">
        <w:t>Nigel Chapman</w:t>
      </w:r>
      <w:r w:rsidR="006E3605">
        <w:t xml:space="preserve">, Laurence Fouweather, </w:t>
      </w:r>
      <w:r w:rsidR="00CB51FE">
        <w:t xml:space="preserve">David Henwood, </w:t>
      </w:r>
      <w:r w:rsidR="009B411E">
        <w:t xml:space="preserve">Anna Railton, Lois Muddiman, Chris Smowton, Alex Powell and </w:t>
      </w:r>
      <w:r w:rsidR="006E3605">
        <w:t xml:space="preserve">Louise Upton with amendments </w:t>
      </w:r>
      <w:r>
        <w:t xml:space="preserve">submitted by members and officers. </w:t>
      </w:r>
    </w:p>
    <w:p w14:paraId="352FB548" w14:textId="23ACC27F" w:rsidR="00633578" w:rsidRPr="002B6836" w:rsidRDefault="00D30C99" w:rsidP="00D30C99">
      <w:pPr>
        <w:pStyle w:val="Heading1"/>
      </w:pPr>
      <w:r>
        <w:t>Proposed Amendments</w:t>
      </w:r>
    </w:p>
    <w:p w14:paraId="377DDE3A" w14:textId="075890AE" w:rsidR="00D30C99" w:rsidRPr="004A290F" w:rsidRDefault="00D30C99" w:rsidP="004A290F">
      <w:pPr>
        <w:pStyle w:val="ListParagraph"/>
        <w:numPr>
          <w:ilvl w:val="0"/>
          <w:numId w:val="37"/>
        </w:numPr>
        <w:rPr>
          <w:rStyle w:val="ListParagraphChar"/>
          <w:color w:val="FF0000"/>
        </w:rPr>
      </w:pPr>
      <w:r w:rsidRPr="004A290F">
        <w:rPr>
          <w:rStyle w:val="ListParagraphChar"/>
          <w:color w:val="auto"/>
        </w:rPr>
        <w:t xml:space="preserve">The list of </w:t>
      </w:r>
      <w:r w:rsidR="003E0D93">
        <w:rPr>
          <w:rStyle w:val="ListParagraphChar"/>
          <w:color w:val="auto"/>
        </w:rPr>
        <w:t>6</w:t>
      </w:r>
      <w:r w:rsidR="00515483">
        <w:rPr>
          <w:rStyle w:val="ListParagraphChar"/>
          <w:color w:val="auto"/>
        </w:rPr>
        <w:t>0</w:t>
      </w:r>
      <w:r w:rsidR="00CF7E2A">
        <w:rPr>
          <w:rStyle w:val="ListParagraphChar"/>
          <w:color w:val="auto"/>
        </w:rPr>
        <w:t xml:space="preserve"> </w:t>
      </w:r>
      <w:r w:rsidRPr="004A290F">
        <w:rPr>
          <w:rStyle w:val="ListParagraphChar"/>
          <w:color w:val="auto"/>
        </w:rPr>
        <w:t xml:space="preserve">proposed amendments resulting from the Constitution Review are attached at Appendix 1. </w:t>
      </w:r>
    </w:p>
    <w:p w14:paraId="72C3175B" w14:textId="77777777" w:rsidR="00D30C99" w:rsidRDefault="00D30C99" w:rsidP="004A290F">
      <w:pPr>
        <w:pStyle w:val="ListParagraph"/>
        <w:numPr>
          <w:ilvl w:val="0"/>
          <w:numId w:val="37"/>
        </w:numPr>
        <w:rPr>
          <w:rStyle w:val="ListParagraphChar"/>
          <w:color w:val="auto"/>
        </w:rPr>
      </w:pPr>
      <w:r w:rsidRPr="00873FC6">
        <w:rPr>
          <w:rStyle w:val="ListParagraphChar"/>
          <w:color w:val="auto"/>
        </w:rPr>
        <w:t xml:space="preserve">The proposed amendments were </w:t>
      </w:r>
      <w:r>
        <w:rPr>
          <w:rStyle w:val="ListParagraphChar"/>
          <w:color w:val="auto"/>
        </w:rPr>
        <w:t xml:space="preserve">initially </w:t>
      </w:r>
      <w:r w:rsidRPr="00873FC6">
        <w:rPr>
          <w:rStyle w:val="ListParagraphChar"/>
          <w:color w:val="auto"/>
        </w:rPr>
        <w:t>considered and debated in turn by the Group</w:t>
      </w:r>
      <w:r>
        <w:rPr>
          <w:rStyle w:val="ListParagraphChar"/>
          <w:color w:val="auto"/>
        </w:rPr>
        <w:t xml:space="preserve"> and in the latter stages of the review process the proposals were taken as read and only debated by exception.</w:t>
      </w:r>
      <w:r w:rsidRPr="00873FC6">
        <w:rPr>
          <w:rStyle w:val="ListParagraphChar"/>
          <w:color w:val="auto"/>
        </w:rPr>
        <w:t xml:space="preserve"> </w:t>
      </w:r>
      <w:r>
        <w:rPr>
          <w:rStyle w:val="ListParagraphChar"/>
          <w:color w:val="auto"/>
        </w:rPr>
        <w:t xml:space="preserve">Following debate, </w:t>
      </w:r>
      <w:r w:rsidRPr="00873FC6">
        <w:rPr>
          <w:rStyle w:val="ListParagraphChar"/>
          <w:color w:val="auto"/>
        </w:rPr>
        <w:t>some proposals were amended by o</w:t>
      </w:r>
      <w:r>
        <w:rPr>
          <w:rStyle w:val="ListParagraphChar"/>
          <w:color w:val="auto"/>
        </w:rPr>
        <w:t>fficers to reflect member input and subsequently circulated to the Group for agreement.</w:t>
      </w:r>
    </w:p>
    <w:p w14:paraId="6E1D0F3B" w14:textId="253C9826" w:rsidR="002D5B60" w:rsidRDefault="002D5B60" w:rsidP="002D5B60">
      <w:pPr>
        <w:pStyle w:val="ListParagraph"/>
        <w:numPr>
          <w:ilvl w:val="0"/>
          <w:numId w:val="37"/>
        </w:numPr>
        <w:rPr>
          <w:rStyle w:val="ListParagraphChar"/>
          <w:color w:val="auto"/>
        </w:rPr>
      </w:pPr>
      <w:r w:rsidRPr="00873FC6">
        <w:rPr>
          <w:rStyle w:val="ListParagraphChar"/>
          <w:color w:val="auto"/>
        </w:rPr>
        <w:t xml:space="preserve">Since the Constitution Review is in part a tidying up exercise there was a high degree of consensus on most proposals considered by the Group. </w:t>
      </w:r>
      <w:r>
        <w:rPr>
          <w:rStyle w:val="ListParagraphChar"/>
          <w:color w:val="auto"/>
        </w:rPr>
        <w:t>A small number of proposals required amendment following member input.</w:t>
      </w:r>
    </w:p>
    <w:p w14:paraId="4C8940F2" w14:textId="6D2D653A" w:rsidR="002D5B60" w:rsidRDefault="00232ED0" w:rsidP="002D5B60">
      <w:pPr>
        <w:pStyle w:val="ListParagraph"/>
        <w:numPr>
          <w:ilvl w:val="0"/>
          <w:numId w:val="37"/>
        </w:numPr>
        <w:rPr>
          <w:rStyle w:val="ListParagraphChar"/>
          <w:color w:val="auto"/>
        </w:rPr>
      </w:pPr>
      <w:r>
        <w:rPr>
          <w:rStyle w:val="ListParagraphChar"/>
          <w:color w:val="auto"/>
        </w:rPr>
        <w:t xml:space="preserve">In April 2025, all amendments were shared with the Constitution Review Group for further comments ahead of final sign-off. </w:t>
      </w:r>
      <w:r w:rsidR="0023565C">
        <w:rPr>
          <w:rStyle w:val="ListParagraphChar"/>
          <w:color w:val="auto"/>
        </w:rPr>
        <w:t xml:space="preserve">Further amendments outside of the Committee Procedures were put to the group in June for </w:t>
      </w:r>
      <w:r>
        <w:rPr>
          <w:rStyle w:val="ListParagraphChar"/>
          <w:color w:val="auto"/>
        </w:rPr>
        <w:t>approval</w:t>
      </w:r>
      <w:r w:rsidR="0023565C">
        <w:rPr>
          <w:rStyle w:val="ListParagraphChar"/>
          <w:color w:val="auto"/>
        </w:rPr>
        <w:t>.</w:t>
      </w:r>
    </w:p>
    <w:p w14:paraId="3253C778" w14:textId="082F4A9F" w:rsidR="00536663" w:rsidRDefault="00536663" w:rsidP="002D5B60">
      <w:pPr>
        <w:pStyle w:val="ListParagraph"/>
        <w:numPr>
          <w:ilvl w:val="0"/>
          <w:numId w:val="37"/>
        </w:numPr>
        <w:rPr>
          <w:rStyle w:val="ListParagraphChar"/>
          <w:color w:val="auto"/>
        </w:rPr>
      </w:pPr>
      <w:r>
        <w:rPr>
          <w:rStyle w:val="ListParagraphChar"/>
          <w:color w:val="auto"/>
        </w:rPr>
        <w:t>Further amendments could be made to part 4 (Who carries out executive responsibilities), following confirmation with the Leader of the Council, and will be published as an addendum to the report as part of the briefing note.</w:t>
      </w:r>
    </w:p>
    <w:p w14:paraId="0C00E027" w14:textId="0F3A3070" w:rsidR="00467D01" w:rsidRPr="009A2CB4" w:rsidRDefault="00764C8B" w:rsidP="00467D01">
      <w:pPr>
        <w:rPr>
          <w:rStyle w:val="ListParagraphChar"/>
          <w:b/>
          <w:bCs/>
          <w:color w:val="auto"/>
        </w:rPr>
      </w:pPr>
      <w:r>
        <w:rPr>
          <w:rStyle w:val="ListParagraphChar"/>
          <w:b/>
          <w:bCs/>
          <w:color w:val="auto"/>
        </w:rPr>
        <w:t>Changes to Key Decisions and Contract Rules</w:t>
      </w:r>
    </w:p>
    <w:p w14:paraId="237D3D27" w14:textId="449F7E4C" w:rsidR="00467D01" w:rsidRPr="003F1A52" w:rsidRDefault="00FB23D5" w:rsidP="003F1A52">
      <w:pPr>
        <w:pStyle w:val="ListParagraph"/>
        <w:numPr>
          <w:ilvl w:val="0"/>
          <w:numId w:val="37"/>
        </w:numPr>
        <w:rPr>
          <w:rStyle w:val="ListParagraphChar"/>
        </w:rPr>
      </w:pPr>
      <w:r>
        <w:rPr>
          <w:rStyle w:val="ListParagraphChar"/>
          <w:color w:val="auto"/>
        </w:rPr>
        <w:t xml:space="preserve">The definition </w:t>
      </w:r>
      <w:r w:rsidR="00562F3F">
        <w:rPr>
          <w:rStyle w:val="ListParagraphChar"/>
          <w:color w:val="auto"/>
        </w:rPr>
        <w:t>of a Key Decision</w:t>
      </w:r>
      <w:r w:rsidR="00CB2424">
        <w:rPr>
          <w:rStyle w:val="ListParagraphChar"/>
          <w:color w:val="auto"/>
        </w:rPr>
        <w:t xml:space="preserve"> has been updated</w:t>
      </w:r>
      <w:r w:rsidR="006A4A2E">
        <w:rPr>
          <w:rStyle w:val="ListParagraphChar"/>
          <w:color w:val="auto"/>
        </w:rPr>
        <w:t xml:space="preserve"> in Part 15</w:t>
      </w:r>
      <w:r w:rsidR="00094F98">
        <w:rPr>
          <w:rStyle w:val="ListParagraphChar"/>
          <w:color w:val="auto"/>
        </w:rPr>
        <w:t xml:space="preserve">, following the change </w:t>
      </w:r>
      <w:r w:rsidR="0065595F">
        <w:rPr>
          <w:rStyle w:val="ListParagraphChar"/>
          <w:color w:val="auto"/>
        </w:rPr>
        <w:t xml:space="preserve">approved at full Council in November 2024. </w:t>
      </w:r>
      <w:r w:rsidR="003F1A52" w:rsidRPr="003F1A52">
        <w:t>Acquiring or disposing of freeholds</w:t>
      </w:r>
      <w:r w:rsidR="003F1A52">
        <w:rPr>
          <w:rStyle w:val="ListParagraphChar"/>
          <w:color w:val="auto"/>
        </w:rPr>
        <w:t xml:space="preserve"> </w:t>
      </w:r>
      <w:r w:rsidR="00764C8B">
        <w:rPr>
          <w:rStyle w:val="ListParagraphChar"/>
          <w:color w:val="auto"/>
        </w:rPr>
        <w:t xml:space="preserve">has </w:t>
      </w:r>
      <w:r w:rsidR="003F1A52">
        <w:rPr>
          <w:rStyle w:val="ListParagraphChar"/>
          <w:color w:val="auto"/>
        </w:rPr>
        <w:t xml:space="preserve">been </w:t>
      </w:r>
      <w:r w:rsidR="00764C8B">
        <w:rPr>
          <w:rStyle w:val="ListParagraphChar"/>
          <w:color w:val="auto"/>
        </w:rPr>
        <w:t>increased</w:t>
      </w:r>
      <w:r w:rsidR="003F1A52">
        <w:rPr>
          <w:rStyle w:val="ListParagraphChar"/>
          <w:color w:val="auto"/>
        </w:rPr>
        <w:t xml:space="preserve"> to £750,000</w:t>
      </w:r>
      <w:r w:rsidR="003F1A52" w:rsidRPr="003F1A52">
        <w:rPr>
          <w:color w:val="auto"/>
          <w:lang w:eastAsia="en-US"/>
        </w:rPr>
        <w:t xml:space="preserve"> </w:t>
      </w:r>
      <w:r w:rsidR="003F1A52" w:rsidRPr="003F1A52">
        <w:t xml:space="preserve">in the context of the </w:t>
      </w:r>
      <w:r w:rsidR="005D62A1" w:rsidRPr="003F1A52">
        <w:t>medium-term</w:t>
      </w:r>
      <w:r w:rsidR="003F1A52" w:rsidRPr="003F1A52">
        <w:t xml:space="preserve"> financial strategy except for disposals pursuant to right to buy legislation</w:t>
      </w:r>
    </w:p>
    <w:p w14:paraId="3081C81A" w14:textId="5C43C4BD" w:rsidR="00764C8B" w:rsidRPr="00764C8B" w:rsidRDefault="00764C8B" w:rsidP="00764C8B">
      <w:pPr>
        <w:pStyle w:val="ListParagraph"/>
        <w:numPr>
          <w:ilvl w:val="0"/>
          <w:numId w:val="37"/>
        </w:numPr>
        <w:rPr>
          <w:rStyle w:val="ListParagraphChar"/>
          <w:color w:val="auto"/>
        </w:rPr>
      </w:pPr>
      <w:r>
        <w:rPr>
          <w:color w:val="auto"/>
        </w:rPr>
        <w:t>There has been a slight amendment to the contract rules</w:t>
      </w:r>
      <w:r w:rsidR="006A4A2E">
        <w:rPr>
          <w:color w:val="auto"/>
        </w:rPr>
        <w:t xml:space="preserve"> in Part 19, </w:t>
      </w:r>
      <w:r w:rsidR="00E81C22">
        <w:rPr>
          <w:color w:val="auto"/>
        </w:rPr>
        <w:t>with exemptions and waivers</w:t>
      </w:r>
      <w:r>
        <w:rPr>
          <w:color w:val="auto"/>
        </w:rPr>
        <w:t xml:space="preserve"> for procurement, to provide clarity </w:t>
      </w:r>
      <w:r w:rsidR="007E1734">
        <w:rPr>
          <w:color w:val="auto"/>
        </w:rPr>
        <w:t xml:space="preserve">to Officers on ensuring there is substantial evidence for </w:t>
      </w:r>
      <w:r w:rsidR="005D62A1">
        <w:rPr>
          <w:color w:val="auto"/>
        </w:rPr>
        <w:t xml:space="preserve">value of money to </w:t>
      </w:r>
      <w:r w:rsidR="007E1734">
        <w:rPr>
          <w:color w:val="auto"/>
        </w:rPr>
        <w:t>keep with the current supplier</w:t>
      </w:r>
      <w:r w:rsidR="005D62A1">
        <w:rPr>
          <w:color w:val="auto"/>
        </w:rPr>
        <w:t>.</w:t>
      </w:r>
    </w:p>
    <w:p w14:paraId="158D7BAE" w14:textId="53AE651F" w:rsidR="002D5B60" w:rsidRPr="002B6836" w:rsidRDefault="003331E2" w:rsidP="002D5B60">
      <w:pPr>
        <w:pStyle w:val="Heading1"/>
      </w:pPr>
      <w:r>
        <w:t>Committee Procedure Amendments</w:t>
      </w:r>
    </w:p>
    <w:p w14:paraId="0360FC00" w14:textId="0FE440F7" w:rsidR="003E1D5A" w:rsidRPr="008A3AE5" w:rsidRDefault="003E1D5A" w:rsidP="008A3AE5">
      <w:pPr>
        <w:pStyle w:val="ListParagraph"/>
        <w:numPr>
          <w:ilvl w:val="0"/>
          <w:numId w:val="37"/>
        </w:numPr>
        <w:rPr>
          <w:rStyle w:val="ListParagraphChar"/>
          <w:color w:val="auto"/>
        </w:rPr>
      </w:pPr>
      <w:r>
        <w:rPr>
          <w:rStyle w:val="ListParagraphChar"/>
          <w:color w:val="auto"/>
        </w:rPr>
        <w:lastRenderedPageBreak/>
        <w:t xml:space="preserve">Most of the amendments were around </w:t>
      </w:r>
      <w:r w:rsidR="00F13C72">
        <w:rPr>
          <w:rStyle w:val="ListParagraphChar"/>
          <w:color w:val="auto"/>
        </w:rPr>
        <w:t xml:space="preserve">standardising the processes </w:t>
      </w:r>
      <w:r w:rsidR="007B49CD">
        <w:rPr>
          <w:rStyle w:val="ListParagraphChar"/>
          <w:color w:val="auto"/>
        </w:rPr>
        <w:t>for</w:t>
      </w:r>
      <w:r w:rsidR="00F13C72">
        <w:rPr>
          <w:rStyle w:val="ListParagraphChar"/>
          <w:color w:val="auto"/>
        </w:rPr>
        <w:t xml:space="preserve"> committee where the Council has the overall authority. This included setting time limits for committees</w:t>
      </w:r>
      <w:r w:rsidR="0040586A">
        <w:rPr>
          <w:rStyle w:val="ListParagraphChar"/>
          <w:color w:val="auto"/>
        </w:rPr>
        <w:t>, rules around public speakers</w:t>
      </w:r>
      <w:r w:rsidR="00DF7BA9">
        <w:rPr>
          <w:rStyle w:val="ListParagraphChar"/>
          <w:color w:val="auto"/>
        </w:rPr>
        <w:t xml:space="preserve"> for committees and aligning the procedural items for agendas</w:t>
      </w:r>
      <w:r w:rsidR="008A3AE5">
        <w:rPr>
          <w:rStyle w:val="ListParagraphChar"/>
          <w:color w:val="auto"/>
        </w:rPr>
        <w:t xml:space="preserve">, such as the </w:t>
      </w:r>
      <w:r w:rsidR="000A68DB" w:rsidRPr="008A3AE5">
        <w:rPr>
          <w:rStyle w:val="ListParagraphChar"/>
          <w:color w:val="auto"/>
        </w:rPr>
        <w:t>approval of minutes</w:t>
      </w:r>
      <w:r w:rsidR="008A3AE5" w:rsidRPr="008A3AE5">
        <w:rPr>
          <w:rStyle w:val="ListParagraphChar"/>
          <w:color w:val="auto"/>
        </w:rPr>
        <w:t xml:space="preserve"> across all formal meetings held</w:t>
      </w:r>
      <w:r w:rsidR="002D5B60" w:rsidRPr="008A3AE5">
        <w:rPr>
          <w:rStyle w:val="ListParagraphChar"/>
          <w:color w:val="auto"/>
        </w:rPr>
        <w:t>.</w:t>
      </w:r>
    </w:p>
    <w:p w14:paraId="10F0356E" w14:textId="69593AEF" w:rsidR="000A68DB" w:rsidRDefault="000A68DB" w:rsidP="004A290F">
      <w:pPr>
        <w:pStyle w:val="ListParagraph"/>
        <w:numPr>
          <w:ilvl w:val="0"/>
          <w:numId w:val="37"/>
        </w:numPr>
        <w:rPr>
          <w:rStyle w:val="ListParagraphChar"/>
          <w:color w:val="auto"/>
        </w:rPr>
      </w:pPr>
      <w:r>
        <w:rPr>
          <w:rStyle w:val="ListParagraphChar"/>
          <w:color w:val="auto"/>
        </w:rPr>
        <w:t xml:space="preserve">The </w:t>
      </w:r>
      <w:r w:rsidR="00B11221">
        <w:rPr>
          <w:rStyle w:val="ListParagraphChar"/>
          <w:color w:val="auto"/>
        </w:rPr>
        <w:t xml:space="preserve">amendments to full Council </w:t>
      </w:r>
      <w:r w:rsidR="002D5B60">
        <w:rPr>
          <w:rStyle w:val="ListParagraphChar"/>
          <w:color w:val="auto"/>
        </w:rPr>
        <w:t xml:space="preserve">(part 11) </w:t>
      </w:r>
      <w:r w:rsidR="00B11221">
        <w:rPr>
          <w:rStyle w:val="ListParagraphChar"/>
          <w:color w:val="auto"/>
        </w:rPr>
        <w:t xml:space="preserve">included </w:t>
      </w:r>
      <w:r w:rsidR="0040272E">
        <w:rPr>
          <w:rStyle w:val="ListParagraphChar"/>
          <w:color w:val="auto"/>
        </w:rPr>
        <w:t>further guidance</w:t>
      </w:r>
      <w:r w:rsidR="00287EF2">
        <w:rPr>
          <w:rStyle w:val="ListParagraphChar"/>
          <w:color w:val="auto"/>
        </w:rPr>
        <w:t xml:space="preserve"> and revised deadlines for</w:t>
      </w:r>
      <w:r w:rsidR="0040272E">
        <w:rPr>
          <w:rStyle w:val="ListParagraphChar"/>
          <w:color w:val="auto"/>
        </w:rPr>
        <w:t xml:space="preserve"> Motions on Notice</w:t>
      </w:r>
      <w:r w:rsidR="00287EF2">
        <w:rPr>
          <w:rStyle w:val="ListParagraphChar"/>
          <w:color w:val="auto"/>
        </w:rPr>
        <w:t xml:space="preserve"> and amendments</w:t>
      </w:r>
      <w:r w:rsidR="00B37EC4">
        <w:rPr>
          <w:rStyle w:val="ListParagraphChar"/>
          <w:color w:val="auto"/>
        </w:rPr>
        <w:t xml:space="preserve"> (11.18)</w:t>
      </w:r>
      <w:r w:rsidR="00287EF2">
        <w:rPr>
          <w:rStyle w:val="ListParagraphChar"/>
          <w:color w:val="auto"/>
        </w:rPr>
        <w:t xml:space="preserve">, Questions on Notice </w:t>
      </w:r>
      <w:r w:rsidR="00442B7B">
        <w:rPr>
          <w:rStyle w:val="ListParagraphChar"/>
          <w:color w:val="auto"/>
        </w:rPr>
        <w:t xml:space="preserve">(11.11) </w:t>
      </w:r>
      <w:r w:rsidR="00287EF2">
        <w:rPr>
          <w:rStyle w:val="ListParagraphChar"/>
          <w:color w:val="auto"/>
        </w:rPr>
        <w:t xml:space="preserve">and to Public Addresses. </w:t>
      </w:r>
      <w:r w:rsidR="009E04DF">
        <w:rPr>
          <w:rStyle w:val="ListParagraphChar"/>
          <w:color w:val="auto"/>
        </w:rPr>
        <w:t>Guidance for Questions from the Public was amalgamated into Addresses from the Public.</w:t>
      </w:r>
      <w:r w:rsidR="00343726">
        <w:rPr>
          <w:rStyle w:val="ListParagraphChar"/>
          <w:color w:val="auto"/>
        </w:rPr>
        <w:t xml:space="preserve"> </w:t>
      </w:r>
      <w:r w:rsidR="006557D9">
        <w:rPr>
          <w:rStyle w:val="ListParagraphChar"/>
          <w:color w:val="auto"/>
        </w:rPr>
        <w:t xml:space="preserve">Further guidance was given for how Council would deal with petitions </w:t>
      </w:r>
      <w:r w:rsidR="00442B7B">
        <w:rPr>
          <w:rStyle w:val="ListParagraphChar"/>
          <w:color w:val="auto"/>
        </w:rPr>
        <w:t xml:space="preserve">(11.15) </w:t>
      </w:r>
      <w:r w:rsidR="006557D9">
        <w:rPr>
          <w:rStyle w:val="ListParagraphChar"/>
          <w:color w:val="auto"/>
        </w:rPr>
        <w:t>and t</w:t>
      </w:r>
      <w:r w:rsidR="00343726">
        <w:rPr>
          <w:rStyle w:val="ListParagraphChar"/>
          <w:color w:val="auto"/>
        </w:rPr>
        <w:t xml:space="preserve">here was also provision for urgent business to </w:t>
      </w:r>
      <w:r w:rsidR="00545D98">
        <w:rPr>
          <w:rStyle w:val="ListParagraphChar"/>
          <w:color w:val="auto"/>
        </w:rPr>
        <w:t>include</w:t>
      </w:r>
      <w:r w:rsidR="00343726">
        <w:rPr>
          <w:rStyle w:val="ListParagraphChar"/>
          <w:color w:val="auto"/>
        </w:rPr>
        <w:t xml:space="preserve"> on the agenda</w:t>
      </w:r>
      <w:r w:rsidR="00545D98">
        <w:rPr>
          <w:rStyle w:val="ListParagraphChar"/>
          <w:color w:val="auto"/>
        </w:rPr>
        <w:t xml:space="preserve"> and to meet current legislation</w:t>
      </w:r>
      <w:r w:rsidR="00CD6D88">
        <w:rPr>
          <w:rStyle w:val="ListParagraphChar"/>
          <w:color w:val="auto"/>
        </w:rPr>
        <w:t xml:space="preserve"> (11.27)</w:t>
      </w:r>
      <w:r w:rsidR="00545D98">
        <w:rPr>
          <w:rStyle w:val="ListParagraphChar"/>
          <w:color w:val="auto"/>
        </w:rPr>
        <w:t>.</w:t>
      </w:r>
    </w:p>
    <w:p w14:paraId="099A77AF" w14:textId="4072B19D" w:rsidR="00127E17" w:rsidRPr="00862EA8" w:rsidRDefault="00127E17" w:rsidP="00862EA8">
      <w:pPr>
        <w:pStyle w:val="ListParagraph"/>
        <w:numPr>
          <w:ilvl w:val="0"/>
          <w:numId w:val="37"/>
        </w:numPr>
        <w:rPr>
          <w:rStyle w:val="ListParagraphChar"/>
          <w:color w:val="auto"/>
        </w:rPr>
      </w:pPr>
      <w:r>
        <w:rPr>
          <w:rStyle w:val="ListParagraphChar"/>
          <w:color w:val="auto"/>
        </w:rPr>
        <w:t xml:space="preserve">The amendments to Cabinet procedures (part 12) included clearer guidance for </w:t>
      </w:r>
      <w:r w:rsidR="008B15DC">
        <w:rPr>
          <w:rStyle w:val="ListParagraphChar"/>
          <w:color w:val="auto"/>
        </w:rPr>
        <w:t xml:space="preserve">addresses </w:t>
      </w:r>
      <w:r w:rsidR="0003281F">
        <w:rPr>
          <w:rStyle w:val="ListParagraphChar"/>
          <w:color w:val="auto"/>
        </w:rPr>
        <w:t xml:space="preserve">relating to business of the meeting </w:t>
      </w:r>
      <w:r w:rsidR="008B15DC">
        <w:rPr>
          <w:rStyle w:val="ListParagraphChar"/>
          <w:color w:val="auto"/>
        </w:rPr>
        <w:t xml:space="preserve">from members of the public </w:t>
      </w:r>
      <w:r w:rsidR="0003281F">
        <w:rPr>
          <w:rStyle w:val="ListParagraphChar"/>
          <w:color w:val="auto"/>
        </w:rPr>
        <w:t xml:space="preserve">(12.10) </w:t>
      </w:r>
      <w:r w:rsidR="008B15DC">
        <w:rPr>
          <w:rStyle w:val="ListParagraphChar"/>
          <w:color w:val="auto"/>
        </w:rPr>
        <w:t>and Councillors</w:t>
      </w:r>
      <w:r w:rsidR="0003281F">
        <w:rPr>
          <w:rStyle w:val="ListParagraphChar"/>
          <w:color w:val="auto"/>
        </w:rPr>
        <w:t xml:space="preserve"> (12.11) along with guidance for Councillors speaking on neighbourhood items (12.12)</w:t>
      </w:r>
      <w:r w:rsidR="004E2641">
        <w:rPr>
          <w:rStyle w:val="ListParagraphChar"/>
          <w:color w:val="auto"/>
        </w:rPr>
        <w:t xml:space="preserve">. </w:t>
      </w:r>
      <w:r w:rsidR="00862EA8">
        <w:rPr>
          <w:rStyle w:val="ListParagraphChar"/>
          <w:color w:val="auto"/>
        </w:rPr>
        <w:t>The</w:t>
      </w:r>
      <w:r w:rsidR="004E2641">
        <w:rPr>
          <w:rStyle w:val="ListParagraphChar"/>
          <w:color w:val="auto"/>
        </w:rPr>
        <w:t xml:space="preserve"> </w:t>
      </w:r>
      <w:r w:rsidR="002F79F4" w:rsidRPr="00862EA8">
        <w:rPr>
          <w:rStyle w:val="ListParagraphChar"/>
          <w:color w:val="auto"/>
        </w:rPr>
        <w:t>provision for special meeting</w:t>
      </w:r>
      <w:r w:rsidR="00862EA8">
        <w:rPr>
          <w:rStyle w:val="ListParagraphChar"/>
          <w:color w:val="auto"/>
        </w:rPr>
        <w:t>s with shorter agendas</w:t>
      </w:r>
      <w:r w:rsidR="004E2641" w:rsidRPr="00862EA8">
        <w:rPr>
          <w:rStyle w:val="ListParagraphChar"/>
          <w:color w:val="auto"/>
        </w:rPr>
        <w:t xml:space="preserve"> was also included</w:t>
      </w:r>
      <w:r w:rsidR="002F79F4" w:rsidRPr="00862EA8">
        <w:rPr>
          <w:rStyle w:val="ListParagraphChar"/>
          <w:color w:val="auto"/>
        </w:rPr>
        <w:t xml:space="preserve">. </w:t>
      </w:r>
    </w:p>
    <w:p w14:paraId="0CB6612C" w14:textId="3627895E" w:rsidR="005414E2" w:rsidRDefault="002D5B60" w:rsidP="004A290F">
      <w:pPr>
        <w:pStyle w:val="ListParagraph"/>
        <w:numPr>
          <w:ilvl w:val="0"/>
          <w:numId w:val="37"/>
        </w:numPr>
        <w:rPr>
          <w:rStyle w:val="ListParagraphChar"/>
          <w:color w:val="auto"/>
        </w:rPr>
      </w:pPr>
      <w:r>
        <w:rPr>
          <w:rStyle w:val="ListParagraphChar"/>
          <w:color w:val="auto"/>
        </w:rPr>
        <w:t xml:space="preserve">The </w:t>
      </w:r>
      <w:r w:rsidR="00127E17">
        <w:rPr>
          <w:rStyle w:val="ListParagraphChar"/>
          <w:color w:val="auto"/>
        </w:rPr>
        <w:t>a</w:t>
      </w:r>
      <w:r>
        <w:rPr>
          <w:rStyle w:val="ListParagraphChar"/>
          <w:color w:val="auto"/>
        </w:rPr>
        <w:t xml:space="preserve">mendments for the Scrutiny Committee </w:t>
      </w:r>
      <w:r w:rsidR="003331E2">
        <w:rPr>
          <w:rStyle w:val="ListParagraphChar"/>
          <w:color w:val="auto"/>
        </w:rPr>
        <w:t xml:space="preserve">(part 13) </w:t>
      </w:r>
      <w:r>
        <w:rPr>
          <w:rStyle w:val="ListParagraphChar"/>
          <w:color w:val="auto"/>
        </w:rPr>
        <w:t xml:space="preserve">included </w:t>
      </w:r>
      <w:r w:rsidR="00D91D10">
        <w:rPr>
          <w:rStyle w:val="ListParagraphChar"/>
          <w:color w:val="auto"/>
        </w:rPr>
        <w:t xml:space="preserve">clearer </w:t>
      </w:r>
      <w:r w:rsidR="00FD15C9">
        <w:rPr>
          <w:rStyle w:val="ListParagraphChar"/>
          <w:color w:val="auto"/>
        </w:rPr>
        <w:t>guidance</w:t>
      </w:r>
      <w:r w:rsidR="00D91D10">
        <w:rPr>
          <w:rStyle w:val="ListParagraphChar"/>
          <w:color w:val="auto"/>
        </w:rPr>
        <w:t xml:space="preserve"> for public addresses</w:t>
      </w:r>
      <w:r w:rsidR="00FD15C9">
        <w:rPr>
          <w:rStyle w:val="ListParagraphChar"/>
          <w:color w:val="auto"/>
        </w:rPr>
        <w:t xml:space="preserve"> and the provision for the committee to ask questions </w:t>
      </w:r>
      <w:r w:rsidR="00A161A4">
        <w:rPr>
          <w:rStyle w:val="ListParagraphChar"/>
          <w:color w:val="auto"/>
        </w:rPr>
        <w:t>to public addresses</w:t>
      </w:r>
      <w:r w:rsidR="007E7DDF">
        <w:rPr>
          <w:rStyle w:val="ListParagraphChar"/>
          <w:color w:val="auto"/>
        </w:rPr>
        <w:t xml:space="preserve"> (13.16), inclusion of Councillors addressing the Scrutiny Committee (13.17)</w:t>
      </w:r>
      <w:r w:rsidR="008576E6">
        <w:rPr>
          <w:rStyle w:val="ListParagraphChar"/>
          <w:color w:val="auto"/>
        </w:rPr>
        <w:t>, the inclusion of a standing item to approve the recommendations from the Committee’s Working Groups</w:t>
      </w:r>
      <w:r w:rsidR="007E7DDF">
        <w:rPr>
          <w:rStyle w:val="ListParagraphChar"/>
          <w:color w:val="auto"/>
        </w:rPr>
        <w:t xml:space="preserve"> (13.15)</w:t>
      </w:r>
      <w:r w:rsidR="00A161A4">
        <w:rPr>
          <w:rStyle w:val="ListParagraphChar"/>
          <w:color w:val="auto"/>
        </w:rPr>
        <w:t xml:space="preserve"> and </w:t>
      </w:r>
      <w:r w:rsidR="00513BCB">
        <w:rPr>
          <w:rStyle w:val="ListParagraphChar"/>
          <w:color w:val="auto"/>
        </w:rPr>
        <w:t>procedure</w:t>
      </w:r>
      <w:r w:rsidR="006557D9">
        <w:rPr>
          <w:rStyle w:val="ListParagraphChar"/>
          <w:color w:val="auto"/>
        </w:rPr>
        <w:t xml:space="preserve"> for how the committee would review </w:t>
      </w:r>
      <w:r w:rsidR="00513BCB">
        <w:rPr>
          <w:rStyle w:val="ListParagraphChar"/>
          <w:color w:val="auto"/>
        </w:rPr>
        <w:t>call-ins of Cabinet and Key Decisions</w:t>
      </w:r>
      <w:r w:rsidR="007E7DDF">
        <w:rPr>
          <w:rStyle w:val="ListParagraphChar"/>
          <w:color w:val="auto"/>
        </w:rPr>
        <w:t xml:space="preserve"> (13.18)</w:t>
      </w:r>
      <w:r w:rsidR="00513BCB">
        <w:rPr>
          <w:rStyle w:val="ListParagraphChar"/>
          <w:color w:val="auto"/>
        </w:rPr>
        <w:t xml:space="preserve">. </w:t>
      </w:r>
    </w:p>
    <w:p w14:paraId="6B3D9257" w14:textId="0DA017D4" w:rsidR="002D5B60" w:rsidRDefault="0052325A" w:rsidP="004A290F">
      <w:pPr>
        <w:pStyle w:val="ListParagraph"/>
        <w:numPr>
          <w:ilvl w:val="0"/>
          <w:numId w:val="37"/>
        </w:numPr>
        <w:rPr>
          <w:rStyle w:val="ListParagraphChar"/>
          <w:color w:val="auto"/>
        </w:rPr>
      </w:pPr>
      <w:r>
        <w:rPr>
          <w:rStyle w:val="ListParagraphChar"/>
          <w:color w:val="auto"/>
        </w:rPr>
        <w:t xml:space="preserve">There was also </w:t>
      </w:r>
      <w:r w:rsidR="00FB3DB0">
        <w:rPr>
          <w:rStyle w:val="ListParagraphChar"/>
          <w:color w:val="auto"/>
        </w:rPr>
        <w:t xml:space="preserve">an </w:t>
      </w:r>
      <w:r w:rsidR="002D5B60">
        <w:rPr>
          <w:rStyle w:val="ListParagraphChar"/>
          <w:color w:val="auto"/>
        </w:rPr>
        <w:t>amalgamat</w:t>
      </w:r>
      <w:r>
        <w:rPr>
          <w:rStyle w:val="ListParagraphChar"/>
          <w:color w:val="auto"/>
        </w:rPr>
        <w:t>ion</w:t>
      </w:r>
      <w:r w:rsidR="00FB3DB0">
        <w:rPr>
          <w:rStyle w:val="ListParagraphChar"/>
          <w:color w:val="auto"/>
        </w:rPr>
        <w:t xml:space="preserve"> of</w:t>
      </w:r>
      <w:r w:rsidR="002D5B60">
        <w:rPr>
          <w:rStyle w:val="ListParagraphChar"/>
          <w:color w:val="auto"/>
        </w:rPr>
        <w:t xml:space="preserve"> the</w:t>
      </w:r>
      <w:r w:rsidR="000C504F">
        <w:rPr>
          <w:rStyle w:val="ListParagraphChar"/>
          <w:color w:val="auto"/>
        </w:rPr>
        <w:t xml:space="preserve"> </w:t>
      </w:r>
      <w:r w:rsidR="003331E2">
        <w:rPr>
          <w:rStyle w:val="ListParagraphChar"/>
          <w:color w:val="auto"/>
        </w:rPr>
        <w:t>Operating Principles</w:t>
      </w:r>
      <w:r w:rsidR="00A161A4">
        <w:rPr>
          <w:rStyle w:val="ListParagraphChar"/>
          <w:color w:val="auto"/>
        </w:rPr>
        <w:t>, approved by the Committee on 10 June 2025</w:t>
      </w:r>
      <w:r w:rsidR="00FB3DB0">
        <w:rPr>
          <w:rStyle w:val="ListParagraphChar"/>
          <w:color w:val="auto"/>
        </w:rPr>
        <w:t>,</w:t>
      </w:r>
      <w:r w:rsidR="003331E2">
        <w:rPr>
          <w:rStyle w:val="ListParagraphChar"/>
          <w:color w:val="auto"/>
        </w:rPr>
        <w:t xml:space="preserve"> into the Constitution</w:t>
      </w:r>
      <w:r w:rsidR="00FB3DB0">
        <w:rPr>
          <w:rStyle w:val="ListParagraphChar"/>
          <w:color w:val="auto"/>
        </w:rPr>
        <w:t>, which included additional guidance for sections</w:t>
      </w:r>
      <w:r w:rsidR="00200840">
        <w:rPr>
          <w:rStyle w:val="ListParagraphChar"/>
          <w:color w:val="auto"/>
        </w:rPr>
        <w:t xml:space="preserve"> 13.2</w:t>
      </w:r>
      <w:r w:rsidR="004234E1">
        <w:rPr>
          <w:rStyle w:val="ListParagraphChar"/>
          <w:color w:val="auto"/>
        </w:rPr>
        <w:t xml:space="preserve"> (Membership of the Scrutiny Committee – Substitutes)</w:t>
      </w:r>
      <w:r w:rsidR="00200840">
        <w:rPr>
          <w:rStyle w:val="ListParagraphChar"/>
          <w:color w:val="auto"/>
        </w:rPr>
        <w:t>, 13.3</w:t>
      </w:r>
      <w:r w:rsidR="007541B3">
        <w:rPr>
          <w:rStyle w:val="ListParagraphChar"/>
          <w:color w:val="auto"/>
        </w:rPr>
        <w:t xml:space="preserve"> </w:t>
      </w:r>
      <w:r w:rsidR="005414E2">
        <w:rPr>
          <w:rStyle w:val="ListParagraphChar"/>
          <w:color w:val="auto"/>
        </w:rPr>
        <w:t xml:space="preserve">(Co-opted members of the Scrutiny Committee) </w:t>
      </w:r>
      <w:r w:rsidR="007541B3">
        <w:rPr>
          <w:rStyle w:val="ListParagraphChar"/>
          <w:color w:val="auto"/>
        </w:rPr>
        <w:t xml:space="preserve">and </w:t>
      </w:r>
      <w:r w:rsidR="00200840">
        <w:rPr>
          <w:rStyle w:val="ListParagraphChar"/>
          <w:color w:val="auto"/>
        </w:rPr>
        <w:t>13.7</w:t>
      </w:r>
      <w:r w:rsidR="005414E2">
        <w:rPr>
          <w:rStyle w:val="ListParagraphChar"/>
          <w:color w:val="auto"/>
        </w:rPr>
        <w:t xml:space="preserve"> (Programme of Work)</w:t>
      </w:r>
      <w:r w:rsidR="007541B3">
        <w:rPr>
          <w:rStyle w:val="ListParagraphChar"/>
          <w:color w:val="auto"/>
        </w:rPr>
        <w:t xml:space="preserve">, in addition to a new section at 13.19 for the </w:t>
      </w:r>
      <w:r w:rsidR="000133F3" w:rsidRPr="000133F3">
        <w:rPr>
          <w:color w:val="auto"/>
        </w:rPr>
        <w:t>Standing Working Groups and Review Groups</w:t>
      </w:r>
      <w:r w:rsidR="000133F3">
        <w:rPr>
          <w:color w:val="auto"/>
        </w:rPr>
        <w:t>.</w:t>
      </w:r>
    </w:p>
    <w:p w14:paraId="09183F9E" w14:textId="39ECD79A" w:rsidR="0042075B" w:rsidRDefault="00127E17" w:rsidP="0042075B">
      <w:pPr>
        <w:pStyle w:val="ListParagraph"/>
        <w:numPr>
          <w:ilvl w:val="0"/>
          <w:numId w:val="37"/>
        </w:numPr>
        <w:rPr>
          <w:rStyle w:val="ListParagraphChar"/>
          <w:color w:val="auto"/>
        </w:rPr>
      </w:pPr>
      <w:r>
        <w:rPr>
          <w:rStyle w:val="ListParagraphChar"/>
          <w:color w:val="auto"/>
        </w:rPr>
        <w:t>The amendments for other committees (part 14) included</w:t>
      </w:r>
      <w:r w:rsidR="008B15DC">
        <w:rPr>
          <w:rStyle w:val="ListParagraphChar"/>
          <w:color w:val="auto"/>
        </w:rPr>
        <w:t xml:space="preserve"> cancelling and rescheduling meetings in exceptional circumstances</w:t>
      </w:r>
      <w:r w:rsidR="00D75F18">
        <w:rPr>
          <w:rStyle w:val="ListParagraphChar"/>
          <w:color w:val="auto"/>
        </w:rPr>
        <w:t>,</w:t>
      </w:r>
      <w:r w:rsidR="007E7DDF">
        <w:rPr>
          <w:rStyle w:val="ListParagraphChar"/>
          <w:color w:val="auto"/>
        </w:rPr>
        <w:t xml:space="preserve"> </w:t>
      </w:r>
      <w:r w:rsidR="00D75F18">
        <w:rPr>
          <w:rStyle w:val="ListParagraphChar"/>
          <w:color w:val="auto"/>
        </w:rPr>
        <w:t xml:space="preserve">inclusion of a </w:t>
      </w:r>
      <w:r w:rsidR="008A3AE5">
        <w:rPr>
          <w:rStyle w:val="ListParagraphChar"/>
          <w:color w:val="auto"/>
        </w:rPr>
        <w:t>four-hour</w:t>
      </w:r>
      <w:r w:rsidR="00D75F18">
        <w:rPr>
          <w:rStyle w:val="ListParagraphChar"/>
          <w:color w:val="auto"/>
        </w:rPr>
        <w:t xml:space="preserve"> time limit for all meetings </w:t>
      </w:r>
      <w:r w:rsidR="007E7DDF">
        <w:rPr>
          <w:rStyle w:val="ListParagraphChar"/>
          <w:color w:val="auto"/>
        </w:rPr>
        <w:t>(14.6)</w:t>
      </w:r>
      <w:r w:rsidR="008B15DC">
        <w:rPr>
          <w:rStyle w:val="ListParagraphChar"/>
          <w:color w:val="auto"/>
        </w:rPr>
        <w:t xml:space="preserve">, </w:t>
      </w:r>
      <w:r w:rsidR="00ED0977">
        <w:rPr>
          <w:rStyle w:val="ListParagraphChar"/>
          <w:color w:val="auto"/>
        </w:rPr>
        <w:t xml:space="preserve">consistent public speaking guidance </w:t>
      </w:r>
      <w:r w:rsidR="00897D8A">
        <w:rPr>
          <w:rStyle w:val="ListParagraphChar"/>
          <w:color w:val="auto"/>
        </w:rPr>
        <w:t xml:space="preserve">and provision for Councillors to speak </w:t>
      </w:r>
      <w:r w:rsidR="00ED0977">
        <w:rPr>
          <w:rStyle w:val="ListParagraphChar"/>
          <w:color w:val="auto"/>
        </w:rPr>
        <w:t>across all committees</w:t>
      </w:r>
      <w:r w:rsidR="007E7DDF">
        <w:rPr>
          <w:rStyle w:val="ListParagraphChar"/>
          <w:color w:val="auto"/>
        </w:rPr>
        <w:t xml:space="preserve"> (14.8)</w:t>
      </w:r>
      <w:r w:rsidR="007C7BEE">
        <w:rPr>
          <w:rStyle w:val="ListParagraphChar"/>
          <w:color w:val="auto"/>
        </w:rPr>
        <w:t>,</w:t>
      </w:r>
      <w:r w:rsidR="009606CC">
        <w:rPr>
          <w:rStyle w:val="ListParagraphChar"/>
          <w:color w:val="auto"/>
        </w:rPr>
        <w:t xml:space="preserve"> </w:t>
      </w:r>
      <w:r w:rsidR="00D75F18">
        <w:rPr>
          <w:rStyle w:val="ListParagraphChar"/>
          <w:color w:val="auto"/>
        </w:rPr>
        <w:t xml:space="preserve">and </w:t>
      </w:r>
      <w:r w:rsidR="009606CC">
        <w:rPr>
          <w:rStyle w:val="ListParagraphChar"/>
          <w:color w:val="auto"/>
        </w:rPr>
        <w:t>a</w:t>
      </w:r>
      <w:r w:rsidR="007C7BEE">
        <w:rPr>
          <w:rStyle w:val="ListParagraphChar"/>
          <w:color w:val="auto"/>
        </w:rPr>
        <w:t xml:space="preserve"> review of</w:t>
      </w:r>
      <w:r w:rsidR="007E7DDF">
        <w:rPr>
          <w:rStyle w:val="ListParagraphChar"/>
          <w:color w:val="auto"/>
        </w:rPr>
        <w:t xml:space="preserve"> all</w:t>
      </w:r>
      <w:r w:rsidR="007C7BEE">
        <w:rPr>
          <w:rStyle w:val="ListParagraphChar"/>
          <w:color w:val="auto"/>
        </w:rPr>
        <w:t xml:space="preserve"> committee agendas</w:t>
      </w:r>
      <w:r w:rsidR="00811B51">
        <w:rPr>
          <w:rStyle w:val="ListParagraphChar"/>
          <w:color w:val="auto"/>
        </w:rPr>
        <w:t xml:space="preserve"> (14.11 Planning Committee, 14.12 Licensing Committee, 14.13 Audit and Governance Committee</w:t>
      </w:r>
      <w:r w:rsidR="00D73127">
        <w:rPr>
          <w:rStyle w:val="ListParagraphChar"/>
          <w:color w:val="auto"/>
        </w:rPr>
        <w:t xml:space="preserve">, </w:t>
      </w:r>
      <w:r w:rsidR="00811B51">
        <w:rPr>
          <w:rStyle w:val="ListParagraphChar"/>
          <w:color w:val="auto"/>
        </w:rPr>
        <w:t>14.14 Standards Committee</w:t>
      </w:r>
      <w:r w:rsidR="00D73127">
        <w:rPr>
          <w:rStyle w:val="ListParagraphChar"/>
          <w:color w:val="auto"/>
        </w:rPr>
        <w:t xml:space="preserve"> and 14.15 Appointments Committee</w:t>
      </w:r>
      <w:r w:rsidR="00811B51">
        <w:rPr>
          <w:rStyle w:val="ListParagraphChar"/>
          <w:color w:val="auto"/>
        </w:rPr>
        <w:t>)</w:t>
      </w:r>
      <w:r w:rsidR="007C7BEE">
        <w:rPr>
          <w:rStyle w:val="ListParagraphChar"/>
          <w:color w:val="auto"/>
        </w:rPr>
        <w:t>.</w:t>
      </w:r>
      <w:r w:rsidR="00D75419">
        <w:rPr>
          <w:rStyle w:val="ListParagraphChar"/>
          <w:color w:val="auto"/>
        </w:rPr>
        <w:t xml:space="preserve"> There is also</w:t>
      </w:r>
      <w:r w:rsidR="006007A7">
        <w:rPr>
          <w:rStyle w:val="ListParagraphChar"/>
          <w:color w:val="auto"/>
        </w:rPr>
        <w:t xml:space="preserve"> a</w:t>
      </w:r>
      <w:r w:rsidR="00820655">
        <w:rPr>
          <w:rStyle w:val="ListParagraphChar"/>
          <w:color w:val="auto"/>
        </w:rPr>
        <w:t xml:space="preserve"> meeting</w:t>
      </w:r>
      <w:r w:rsidR="00D75419">
        <w:rPr>
          <w:rStyle w:val="ListParagraphChar"/>
          <w:color w:val="auto"/>
        </w:rPr>
        <w:t xml:space="preserve"> procedure </w:t>
      </w:r>
      <w:r w:rsidR="00820655">
        <w:rPr>
          <w:rStyle w:val="ListParagraphChar"/>
          <w:color w:val="auto"/>
        </w:rPr>
        <w:t xml:space="preserve">created </w:t>
      </w:r>
      <w:r w:rsidR="00D75419">
        <w:rPr>
          <w:rStyle w:val="ListParagraphChar"/>
          <w:color w:val="auto"/>
        </w:rPr>
        <w:t>for the Licensing Sub-Committees</w:t>
      </w:r>
      <w:r w:rsidR="00FF2FDB">
        <w:rPr>
          <w:rStyle w:val="ListParagraphChar"/>
          <w:color w:val="auto"/>
        </w:rPr>
        <w:t>.</w:t>
      </w:r>
    </w:p>
    <w:p w14:paraId="37780A5B" w14:textId="3BB09E16" w:rsidR="00D75F18" w:rsidRDefault="009A5B52" w:rsidP="0042075B">
      <w:pPr>
        <w:pStyle w:val="ListParagraph"/>
        <w:numPr>
          <w:ilvl w:val="0"/>
          <w:numId w:val="37"/>
        </w:numPr>
        <w:rPr>
          <w:rStyle w:val="ListParagraphChar"/>
          <w:color w:val="auto"/>
        </w:rPr>
      </w:pPr>
      <w:r>
        <w:rPr>
          <w:rStyle w:val="ListParagraphChar"/>
          <w:color w:val="auto"/>
        </w:rPr>
        <w:t xml:space="preserve">Call-in Procedures </w:t>
      </w:r>
      <w:r w:rsidR="007834F0">
        <w:rPr>
          <w:rStyle w:val="ListParagraphChar"/>
          <w:color w:val="auto"/>
        </w:rPr>
        <w:t xml:space="preserve">(part 17) </w:t>
      </w:r>
      <w:r>
        <w:rPr>
          <w:rStyle w:val="ListParagraphChar"/>
          <w:color w:val="auto"/>
        </w:rPr>
        <w:t>were also reviewed including the removal of call-in starting from when the draft minutes were published</w:t>
      </w:r>
      <w:r w:rsidR="007834F0">
        <w:rPr>
          <w:rStyle w:val="ListParagraphChar"/>
          <w:color w:val="auto"/>
        </w:rPr>
        <w:t xml:space="preserve">, instead when the </w:t>
      </w:r>
      <w:r w:rsidR="00073C05">
        <w:rPr>
          <w:rStyle w:val="ListParagraphChar"/>
          <w:color w:val="auto"/>
        </w:rPr>
        <w:t>record of decisio</w:t>
      </w:r>
      <w:r w:rsidR="00896D9B">
        <w:rPr>
          <w:rStyle w:val="ListParagraphChar"/>
          <w:color w:val="auto"/>
        </w:rPr>
        <w:t>n</w:t>
      </w:r>
      <w:r w:rsidR="007834F0">
        <w:rPr>
          <w:rStyle w:val="ListParagraphChar"/>
          <w:color w:val="auto"/>
        </w:rPr>
        <w:t xml:space="preserve"> was published within 48 </w:t>
      </w:r>
      <w:r w:rsidR="00896D9B">
        <w:rPr>
          <w:rStyle w:val="ListParagraphChar"/>
          <w:color w:val="auto"/>
        </w:rPr>
        <w:t xml:space="preserve">hours </w:t>
      </w:r>
      <w:r w:rsidR="007834F0">
        <w:rPr>
          <w:rStyle w:val="ListParagraphChar"/>
          <w:color w:val="auto"/>
        </w:rPr>
        <w:t>of the meeting taken place.</w:t>
      </w:r>
    </w:p>
    <w:p w14:paraId="05DD06A5" w14:textId="04DCE4DD" w:rsidR="009A5B52" w:rsidRDefault="009A5B52" w:rsidP="0042075B">
      <w:pPr>
        <w:pStyle w:val="ListParagraph"/>
        <w:numPr>
          <w:ilvl w:val="0"/>
          <w:numId w:val="37"/>
        </w:numPr>
        <w:rPr>
          <w:rStyle w:val="ListParagraphChar"/>
          <w:color w:val="auto"/>
        </w:rPr>
      </w:pPr>
      <w:r>
        <w:rPr>
          <w:rStyle w:val="ListParagraphChar"/>
          <w:color w:val="auto"/>
        </w:rPr>
        <w:t xml:space="preserve">A </w:t>
      </w:r>
      <w:r w:rsidR="00896D9B">
        <w:rPr>
          <w:rStyle w:val="ListParagraphChar"/>
          <w:color w:val="auto"/>
        </w:rPr>
        <w:t>criterion</w:t>
      </w:r>
      <w:r>
        <w:rPr>
          <w:rStyle w:val="ListParagraphChar"/>
          <w:color w:val="auto"/>
        </w:rPr>
        <w:t xml:space="preserve"> for call-in </w:t>
      </w:r>
      <w:r w:rsidR="00896D9B">
        <w:rPr>
          <w:rStyle w:val="ListParagraphChar"/>
          <w:color w:val="auto"/>
        </w:rPr>
        <w:t xml:space="preserve">for executive decisions </w:t>
      </w:r>
      <w:r>
        <w:rPr>
          <w:rStyle w:val="ListParagraphChar"/>
          <w:color w:val="auto"/>
        </w:rPr>
        <w:t>(17.8) was also drafted to allow the Director of Law, Governance and Strategy, in consultation with the Chair of the Scrutiny Committee</w:t>
      </w:r>
      <w:r w:rsidR="00896D9B">
        <w:rPr>
          <w:rStyle w:val="ListParagraphChar"/>
          <w:color w:val="auto"/>
        </w:rPr>
        <w:t>,</w:t>
      </w:r>
      <w:r>
        <w:rPr>
          <w:rStyle w:val="ListParagraphChar"/>
          <w:color w:val="auto"/>
        </w:rPr>
        <w:t xml:space="preserve"> to determine the validity of the call-in. A new online template </w:t>
      </w:r>
      <w:r w:rsidR="00897D8A">
        <w:rPr>
          <w:rStyle w:val="ListParagraphChar"/>
          <w:color w:val="auto"/>
        </w:rPr>
        <w:t xml:space="preserve">will also be </w:t>
      </w:r>
      <w:r>
        <w:rPr>
          <w:rStyle w:val="ListParagraphChar"/>
          <w:color w:val="auto"/>
        </w:rPr>
        <w:t>produced to coincide with this criterion being enforced</w:t>
      </w:r>
      <w:r w:rsidR="00982041">
        <w:rPr>
          <w:rStyle w:val="ListParagraphChar"/>
          <w:color w:val="auto"/>
        </w:rPr>
        <w:t xml:space="preserve"> and </w:t>
      </w:r>
      <w:r w:rsidR="00896D9B">
        <w:rPr>
          <w:rStyle w:val="ListParagraphChar"/>
          <w:color w:val="auto"/>
        </w:rPr>
        <w:t>will be</w:t>
      </w:r>
      <w:r w:rsidR="00982041">
        <w:rPr>
          <w:rStyle w:val="ListParagraphChar"/>
          <w:color w:val="auto"/>
        </w:rPr>
        <w:t xml:space="preserve"> located on the Members’ Intranet page.</w:t>
      </w:r>
    </w:p>
    <w:p w14:paraId="50A3AF33" w14:textId="368DD267" w:rsidR="007329BB" w:rsidRPr="007329BB" w:rsidRDefault="007329BB" w:rsidP="007329BB">
      <w:pPr>
        <w:pStyle w:val="bParagraphtext"/>
        <w:numPr>
          <w:ilvl w:val="0"/>
          <w:numId w:val="0"/>
        </w:numPr>
        <w:ind w:left="360" w:hanging="360"/>
        <w:rPr>
          <w:b/>
          <w:color w:val="auto"/>
        </w:rPr>
      </w:pPr>
      <w:r w:rsidRPr="00873FC6">
        <w:rPr>
          <w:rStyle w:val="ListParagraphChar"/>
          <w:b/>
          <w:color w:val="auto"/>
        </w:rPr>
        <w:t>Monitoring Officer’s use of delegated authorit</w:t>
      </w:r>
      <w:r>
        <w:rPr>
          <w:rStyle w:val="ListParagraphChar"/>
          <w:b/>
          <w:color w:val="auto"/>
        </w:rPr>
        <w:t>y</w:t>
      </w:r>
    </w:p>
    <w:p w14:paraId="2DF17453" w14:textId="77777777" w:rsidR="006E4A68" w:rsidRPr="00873FC6" w:rsidRDefault="006E4A68" w:rsidP="006E4A68">
      <w:pPr>
        <w:pStyle w:val="ListParagraph"/>
      </w:pPr>
      <w:r w:rsidRPr="00873FC6">
        <w:rPr>
          <w:rStyle w:val="ListParagraphChar"/>
          <w:color w:val="auto"/>
        </w:rPr>
        <w:t xml:space="preserve">Part 2.5 of the Constitution provides that the Monitoring Officer can </w:t>
      </w:r>
      <w:r>
        <w:rPr>
          <w:rStyle w:val="ListParagraphChar"/>
          <w:color w:val="auto"/>
        </w:rPr>
        <w:t>amend</w:t>
      </w:r>
      <w:r w:rsidRPr="00873FC6">
        <w:rPr>
          <w:rStyle w:val="ListParagraphChar"/>
          <w:color w:val="auto"/>
        </w:rPr>
        <w:t xml:space="preserve"> the Constitution if it is to put right clerical mistakes or to make it follow the law. The </w:t>
      </w:r>
      <w:r w:rsidRPr="00873FC6">
        <w:rPr>
          <w:rStyle w:val="ListParagraphChar"/>
          <w:color w:val="auto"/>
        </w:rPr>
        <w:lastRenderedPageBreak/>
        <w:t xml:space="preserve">Monitoring Officer has used their delegated authority to make any changes necessary to ensure the Constitution continues to reflect the law, revise job titles and to correct clerical mistakes and inconsistencies.  </w:t>
      </w:r>
    </w:p>
    <w:p w14:paraId="70635196" w14:textId="298A5F7F" w:rsidR="002312EA" w:rsidRDefault="002312EA" w:rsidP="002B6836">
      <w:pPr>
        <w:pStyle w:val="Heading1"/>
      </w:pPr>
      <w:r>
        <w:t xml:space="preserve">Alternative Options Considered </w:t>
      </w:r>
    </w:p>
    <w:p w14:paraId="045021E2" w14:textId="52117722" w:rsidR="00F865A3" w:rsidRDefault="00F651DB" w:rsidP="00C43242">
      <w:pPr>
        <w:pStyle w:val="bParagraphtext"/>
      </w:pPr>
      <w:r w:rsidRPr="00F651DB">
        <w:rPr>
          <w:rFonts w:cs="Arial"/>
          <w:color w:val="auto"/>
        </w:rPr>
        <w:t>Counci</w:t>
      </w:r>
      <w:r>
        <w:rPr>
          <w:rFonts w:cs="Arial"/>
          <w:color w:val="auto"/>
        </w:rPr>
        <w:t xml:space="preserve">l could consider to not implemented the amendments set out in </w:t>
      </w:r>
      <w:r w:rsidR="00C02151">
        <w:rPr>
          <w:rFonts w:cs="Arial"/>
          <w:color w:val="auto"/>
        </w:rPr>
        <w:t>A</w:t>
      </w:r>
      <w:r>
        <w:rPr>
          <w:rFonts w:cs="Arial"/>
          <w:color w:val="auto"/>
        </w:rPr>
        <w:t xml:space="preserve">ppendix 1, however this would </w:t>
      </w:r>
      <w:r w:rsidR="006F2B7C">
        <w:rPr>
          <w:rFonts w:cs="Arial"/>
          <w:color w:val="auto"/>
        </w:rPr>
        <w:t xml:space="preserve">be considered to </w:t>
      </w:r>
      <w:r>
        <w:rPr>
          <w:rFonts w:cs="Arial"/>
          <w:color w:val="auto"/>
        </w:rPr>
        <w:t>not be appropriate.</w:t>
      </w:r>
      <w:r w:rsidR="00406433">
        <w:rPr>
          <w:rFonts w:cs="Arial"/>
          <w:color w:val="auto"/>
        </w:rPr>
        <w:t xml:space="preserve"> Many of the changes proposed </w:t>
      </w:r>
      <w:r w:rsidR="00AF526C">
        <w:rPr>
          <w:rFonts w:cs="Arial"/>
          <w:color w:val="auto"/>
        </w:rPr>
        <w:t>were received following feedback</w:t>
      </w:r>
      <w:r w:rsidR="002343DC">
        <w:rPr>
          <w:rFonts w:cs="Arial"/>
          <w:color w:val="auto"/>
        </w:rPr>
        <w:t xml:space="preserve"> </w:t>
      </w:r>
      <w:r w:rsidR="006F2B7C">
        <w:rPr>
          <w:rFonts w:cs="Arial"/>
          <w:color w:val="auto"/>
        </w:rPr>
        <w:t>from</w:t>
      </w:r>
      <w:r w:rsidR="002343DC">
        <w:rPr>
          <w:rFonts w:cs="Arial"/>
          <w:color w:val="auto"/>
        </w:rPr>
        <w:t xml:space="preserve"> Members.</w:t>
      </w:r>
    </w:p>
    <w:p w14:paraId="11308776" w14:textId="77777777" w:rsidR="0040736F" w:rsidRPr="002B6836" w:rsidRDefault="002329CF" w:rsidP="002B6836">
      <w:pPr>
        <w:pStyle w:val="Heading1"/>
      </w:pPr>
      <w:r w:rsidRPr="002B6836">
        <w:t>Financial implications</w:t>
      </w:r>
    </w:p>
    <w:p w14:paraId="477454F6" w14:textId="7B468D65" w:rsidR="005E62CE" w:rsidRPr="001356F1" w:rsidRDefault="005E62CE" w:rsidP="005E62CE">
      <w:pPr>
        <w:pStyle w:val="ListParagraph"/>
      </w:pPr>
      <w:r w:rsidRPr="00873FC6">
        <w:t>There are no financial implications arising from the recommendations contained in this report.</w:t>
      </w:r>
    </w:p>
    <w:p w14:paraId="06827778" w14:textId="77777777" w:rsidR="0040736F" w:rsidRPr="001356F1" w:rsidRDefault="00DA614B" w:rsidP="004A6D2F">
      <w:pPr>
        <w:pStyle w:val="Heading1"/>
      </w:pPr>
      <w:r w:rsidRPr="001356F1">
        <w:t>Legal issues</w:t>
      </w:r>
    </w:p>
    <w:p w14:paraId="435DB6B5" w14:textId="77777777" w:rsidR="002B71D3" w:rsidRPr="00873FC6" w:rsidRDefault="002B71D3" w:rsidP="002B71D3">
      <w:pPr>
        <w:pStyle w:val="ListParagraph"/>
      </w:pPr>
      <w:r w:rsidRPr="00873FC6">
        <w:t>A local authority is under a duty to prepare and keep up to date its Constitution under section 9P of the Local Government Act 2000 as amended. The Constitution must contain:</w:t>
      </w:r>
    </w:p>
    <w:p w14:paraId="48233646" w14:textId="77777777" w:rsidR="002B71D3" w:rsidRPr="00873FC6" w:rsidRDefault="002B71D3" w:rsidP="002B71D3">
      <w:pPr>
        <w:pStyle w:val="ListParagraph"/>
        <w:numPr>
          <w:ilvl w:val="0"/>
          <w:numId w:val="40"/>
        </w:numPr>
        <w:spacing w:after="0"/>
        <w:ind w:firstLine="633"/>
        <w:rPr>
          <w:color w:val="auto"/>
        </w:rPr>
      </w:pPr>
      <w:r w:rsidRPr="00873FC6">
        <w:rPr>
          <w:color w:val="auto"/>
        </w:rPr>
        <w:t>the Council’s standing orders/procedure rules;</w:t>
      </w:r>
    </w:p>
    <w:p w14:paraId="09E60442" w14:textId="77777777" w:rsidR="002B71D3" w:rsidRPr="00873FC6" w:rsidRDefault="002B71D3" w:rsidP="002B71D3">
      <w:pPr>
        <w:pStyle w:val="ListParagraph"/>
        <w:numPr>
          <w:ilvl w:val="0"/>
          <w:numId w:val="40"/>
        </w:numPr>
        <w:spacing w:after="0"/>
        <w:ind w:firstLine="633"/>
        <w:rPr>
          <w:color w:val="auto"/>
        </w:rPr>
      </w:pPr>
      <w:r w:rsidRPr="00873FC6">
        <w:rPr>
          <w:color w:val="auto"/>
        </w:rPr>
        <w:t>the Council’s members' code of conduct;</w:t>
      </w:r>
    </w:p>
    <w:p w14:paraId="583E0FDF" w14:textId="77777777" w:rsidR="002B71D3" w:rsidRPr="00873FC6" w:rsidRDefault="002B71D3" w:rsidP="002B71D3">
      <w:pPr>
        <w:pStyle w:val="ListParagraph"/>
        <w:numPr>
          <w:ilvl w:val="0"/>
          <w:numId w:val="40"/>
        </w:numPr>
        <w:spacing w:after="0"/>
        <w:ind w:firstLine="633"/>
        <w:rPr>
          <w:color w:val="auto"/>
        </w:rPr>
      </w:pPr>
      <w:r w:rsidRPr="00873FC6">
        <w:rPr>
          <w:color w:val="auto"/>
        </w:rPr>
        <w:t>such information as the Secretary of State may direct; and</w:t>
      </w:r>
    </w:p>
    <w:p w14:paraId="5FF3CB2E" w14:textId="77777777" w:rsidR="002B71D3" w:rsidRPr="00873FC6" w:rsidRDefault="002B71D3" w:rsidP="002B71D3">
      <w:pPr>
        <w:pStyle w:val="ListParagraph"/>
        <w:numPr>
          <w:ilvl w:val="0"/>
          <w:numId w:val="40"/>
        </w:numPr>
        <w:spacing w:after="0"/>
        <w:ind w:firstLine="633"/>
        <w:rPr>
          <w:color w:val="auto"/>
        </w:rPr>
      </w:pPr>
      <w:r w:rsidRPr="00873FC6">
        <w:rPr>
          <w:color w:val="auto"/>
        </w:rPr>
        <w:t>such other information (if any) as the authority considers appropriate.</w:t>
      </w:r>
    </w:p>
    <w:p w14:paraId="26C69681" w14:textId="77777777" w:rsidR="002B71D3" w:rsidRPr="00995675" w:rsidRDefault="002B71D3" w:rsidP="002B71D3">
      <w:pPr>
        <w:spacing w:after="0"/>
        <w:ind w:left="993"/>
        <w:rPr>
          <w:color w:val="FF0000"/>
        </w:rPr>
      </w:pPr>
    </w:p>
    <w:p w14:paraId="3128F72C" w14:textId="2295BB78" w:rsidR="002B71D3" w:rsidRPr="00301FD7" w:rsidRDefault="002B71D3" w:rsidP="00301FD7">
      <w:pPr>
        <w:pStyle w:val="ListParagraph"/>
        <w:tabs>
          <w:tab w:val="clear" w:pos="426"/>
        </w:tabs>
        <w:ind w:left="567" w:hanging="567"/>
        <w:rPr>
          <w:color w:val="auto"/>
        </w:rPr>
      </w:pPr>
      <w:r w:rsidRPr="00873FC6">
        <w:rPr>
          <w:rFonts w:cs="Arial"/>
          <w:color w:val="auto"/>
          <w:shd w:val="clear" w:color="auto" w:fill="FFFFFF"/>
        </w:rPr>
        <w:t xml:space="preserve">A Constitution Direction was issued by the Secretary of State in December 2000 that required around 80 matters to be included within </w:t>
      </w:r>
      <w:r>
        <w:rPr>
          <w:rFonts w:cs="Arial"/>
          <w:color w:val="auto"/>
          <w:shd w:val="clear" w:color="auto" w:fill="FFFFFF"/>
        </w:rPr>
        <w:t>constitutions, covering m</w:t>
      </w:r>
      <w:r w:rsidRPr="00873FC6">
        <w:rPr>
          <w:rFonts w:cs="Arial"/>
          <w:color w:val="auto"/>
          <w:shd w:val="clear" w:color="auto" w:fill="FFFFFF"/>
        </w:rPr>
        <w:t>embers' allowances schemes, details of procedures for meetings, details of joint arrangements with other local authorities and a description of the rights of inhabitants of the area, amongst other things.</w:t>
      </w:r>
    </w:p>
    <w:p w14:paraId="743CAFAF" w14:textId="35BE2FB0" w:rsidR="002B71D3" w:rsidRPr="00301FD7" w:rsidRDefault="002B71D3" w:rsidP="00301FD7">
      <w:pPr>
        <w:pStyle w:val="ListParagraph"/>
        <w:tabs>
          <w:tab w:val="clear" w:pos="426"/>
        </w:tabs>
        <w:ind w:left="567" w:hanging="567"/>
        <w:rPr>
          <w:rStyle w:val="ListParagraphChar"/>
          <w:color w:val="auto"/>
        </w:rPr>
      </w:pPr>
      <w:r w:rsidRPr="00873FC6">
        <w:rPr>
          <w:color w:val="auto"/>
        </w:rPr>
        <w:t xml:space="preserve">As set out in paragraph </w:t>
      </w:r>
      <w:r w:rsidR="00EB6A67">
        <w:rPr>
          <w:color w:val="auto"/>
        </w:rPr>
        <w:t>1</w:t>
      </w:r>
      <w:r w:rsidR="00301FD7">
        <w:rPr>
          <w:color w:val="auto"/>
        </w:rPr>
        <w:t>8</w:t>
      </w:r>
      <w:r w:rsidRPr="00873FC6">
        <w:rPr>
          <w:color w:val="auto"/>
        </w:rPr>
        <w:t xml:space="preserve"> the Monitoring Officer has delegated authority to </w:t>
      </w:r>
      <w:r w:rsidRPr="00873FC6">
        <w:rPr>
          <w:rStyle w:val="ListParagraphChar"/>
          <w:color w:val="auto"/>
        </w:rPr>
        <w:t xml:space="preserve">make any </w:t>
      </w:r>
      <w:r>
        <w:rPr>
          <w:rStyle w:val="ListParagraphChar"/>
          <w:color w:val="auto"/>
        </w:rPr>
        <w:t>amendments</w:t>
      </w:r>
      <w:r w:rsidRPr="00873FC6">
        <w:rPr>
          <w:rStyle w:val="ListParagraphChar"/>
          <w:color w:val="auto"/>
        </w:rPr>
        <w:t xml:space="preserve"> necessary to ensure the Constitution continues to reflect the law.  </w:t>
      </w:r>
    </w:p>
    <w:p w14:paraId="6A8D21FC" w14:textId="371218CE" w:rsidR="002B71D3" w:rsidRPr="00406433" w:rsidRDefault="002B71D3" w:rsidP="00406433">
      <w:pPr>
        <w:pStyle w:val="ListParagraph"/>
        <w:tabs>
          <w:tab w:val="clear" w:pos="426"/>
        </w:tabs>
        <w:ind w:left="567" w:hanging="567"/>
        <w:rPr>
          <w:color w:val="auto"/>
        </w:rPr>
      </w:pPr>
      <w:r w:rsidRPr="00873FC6">
        <w:rPr>
          <w:rStyle w:val="ListParagraphChar"/>
          <w:color w:val="auto"/>
        </w:rPr>
        <w:t xml:space="preserve">There </w:t>
      </w:r>
      <w:r w:rsidR="00AF526C">
        <w:rPr>
          <w:rStyle w:val="ListParagraphChar"/>
          <w:color w:val="auto"/>
        </w:rPr>
        <w:t xml:space="preserve">are </w:t>
      </w:r>
      <w:r w:rsidRPr="00873FC6">
        <w:rPr>
          <w:rStyle w:val="ListParagraphChar"/>
          <w:color w:val="auto"/>
        </w:rPr>
        <w:t>no other legal issues arising from the recommendations contained in this report.</w:t>
      </w: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216D9E" w:rsidRPr="001356F1"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4987E45" w14:textId="77777777" w:rsidR="00216D9E" w:rsidRPr="001356F1" w:rsidRDefault="00216D9E" w:rsidP="00216D9E">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6930C959" w14:textId="33EC6C9F" w:rsidR="00216D9E" w:rsidRPr="001356F1" w:rsidRDefault="00216D9E" w:rsidP="00216D9E">
            <w:r w:rsidRPr="00EF7B7A">
              <w:t>Jonathan Malton</w:t>
            </w:r>
          </w:p>
        </w:tc>
      </w:tr>
      <w:tr w:rsidR="00216D9E" w:rsidRPr="001356F1" w14:paraId="07A5B9C2"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6B6C3381" w14:textId="77777777" w:rsidR="00216D9E" w:rsidRPr="001356F1" w:rsidRDefault="00216D9E" w:rsidP="00216D9E">
            <w:r w:rsidRPr="001356F1">
              <w:t>Job title</w:t>
            </w:r>
          </w:p>
        </w:tc>
        <w:tc>
          <w:tcPr>
            <w:tcW w:w="4962" w:type="dxa"/>
            <w:tcBorders>
              <w:top w:val="single" w:sz="8" w:space="0" w:color="000000"/>
              <w:left w:val="nil"/>
              <w:bottom w:val="nil"/>
              <w:right w:val="single" w:sz="8" w:space="0" w:color="000000"/>
            </w:tcBorders>
            <w:shd w:val="clear" w:color="auto" w:fill="auto"/>
          </w:tcPr>
          <w:p w14:paraId="3100D2DA" w14:textId="4CF790D3" w:rsidR="00216D9E" w:rsidRPr="001356F1" w:rsidRDefault="00216D9E" w:rsidP="00216D9E">
            <w:r w:rsidRPr="00EF7B7A">
              <w:t>Committee and Member Services Manager</w:t>
            </w:r>
          </w:p>
        </w:tc>
      </w:tr>
      <w:tr w:rsidR="00216D9E" w:rsidRPr="001356F1" w14:paraId="6DEB5543" w14:textId="77777777" w:rsidTr="00A46E98">
        <w:trPr>
          <w:cantSplit/>
          <w:trHeight w:val="396"/>
        </w:trPr>
        <w:tc>
          <w:tcPr>
            <w:tcW w:w="3969" w:type="dxa"/>
            <w:tcBorders>
              <w:top w:val="nil"/>
              <w:left w:val="single" w:sz="8" w:space="0" w:color="000000"/>
              <w:bottom w:val="nil"/>
              <w:right w:val="nil"/>
            </w:tcBorders>
            <w:shd w:val="clear" w:color="auto" w:fill="auto"/>
          </w:tcPr>
          <w:p w14:paraId="7BD402AB" w14:textId="77777777" w:rsidR="00216D9E" w:rsidRPr="001356F1" w:rsidRDefault="00216D9E" w:rsidP="00216D9E">
            <w:r w:rsidRPr="001356F1">
              <w:t>Service area or department</w:t>
            </w:r>
          </w:p>
        </w:tc>
        <w:tc>
          <w:tcPr>
            <w:tcW w:w="4962" w:type="dxa"/>
            <w:tcBorders>
              <w:top w:val="nil"/>
              <w:left w:val="nil"/>
              <w:bottom w:val="nil"/>
              <w:right w:val="single" w:sz="8" w:space="0" w:color="000000"/>
            </w:tcBorders>
            <w:shd w:val="clear" w:color="auto" w:fill="auto"/>
          </w:tcPr>
          <w:p w14:paraId="0F7746FF" w14:textId="389C11E0" w:rsidR="00216D9E" w:rsidRPr="001356F1" w:rsidRDefault="00216D9E" w:rsidP="00216D9E">
            <w:r w:rsidRPr="00EF7B7A">
              <w:t>Law, Governance and Strategy</w:t>
            </w:r>
          </w:p>
        </w:tc>
      </w:tr>
      <w:tr w:rsidR="00216D9E" w:rsidRPr="001356F1" w14:paraId="572FB489" w14:textId="77777777" w:rsidTr="00A46E98">
        <w:trPr>
          <w:cantSplit/>
          <w:trHeight w:val="396"/>
        </w:trPr>
        <w:tc>
          <w:tcPr>
            <w:tcW w:w="3969" w:type="dxa"/>
            <w:tcBorders>
              <w:top w:val="nil"/>
              <w:left w:val="single" w:sz="8" w:space="0" w:color="000000"/>
              <w:bottom w:val="nil"/>
              <w:right w:val="nil"/>
            </w:tcBorders>
            <w:shd w:val="clear" w:color="auto" w:fill="auto"/>
          </w:tcPr>
          <w:p w14:paraId="7832E71E" w14:textId="77777777" w:rsidR="00216D9E" w:rsidRPr="001356F1" w:rsidRDefault="00216D9E" w:rsidP="00216D9E">
            <w:r w:rsidRPr="001356F1">
              <w:t xml:space="preserve">Telephone </w:t>
            </w:r>
          </w:p>
        </w:tc>
        <w:tc>
          <w:tcPr>
            <w:tcW w:w="4962" w:type="dxa"/>
            <w:tcBorders>
              <w:top w:val="nil"/>
              <w:left w:val="nil"/>
              <w:bottom w:val="nil"/>
              <w:right w:val="single" w:sz="8" w:space="0" w:color="000000"/>
            </w:tcBorders>
            <w:shd w:val="clear" w:color="auto" w:fill="auto"/>
          </w:tcPr>
          <w:p w14:paraId="53D96CCC" w14:textId="3923C511" w:rsidR="00216D9E" w:rsidRPr="001356F1" w:rsidRDefault="00216D9E" w:rsidP="00216D9E">
            <w:r w:rsidRPr="00EF7B7A">
              <w:t xml:space="preserve">01865 602767 </w:t>
            </w:r>
          </w:p>
        </w:tc>
      </w:tr>
      <w:tr w:rsidR="00216D9E" w:rsidRPr="001356F1" w14:paraId="40AEFD69" w14:textId="77777777" w:rsidTr="00A46E98">
        <w:trPr>
          <w:cantSplit/>
          <w:trHeight w:val="396"/>
        </w:trPr>
        <w:tc>
          <w:tcPr>
            <w:tcW w:w="3969" w:type="dxa"/>
            <w:tcBorders>
              <w:top w:val="nil"/>
              <w:left w:val="single" w:sz="8" w:space="0" w:color="000000"/>
              <w:bottom w:val="single" w:sz="8" w:space="0" w:color="000000"/>
              <w:right w:val="nil"/>
            </w:tcBorders>
            <w:shd w:val="clear" w:color="auto" w:fill="auto"/>
          </w:tcPr>
          <w:p w14:paraId="5C2DD139" w14:textId="77777777" w:rsidR="00216D9E" w:rsidRPr="001356F1" w:rsidRDefault="00216D9E" w:rsidP="00216D9E">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64C04F4C" w14:textId="485E327A" w:rsidR="00216D9E" w:rsidRPr="001356F1" w:rsidRDefault="00000000" w:rsidP="00216D9E">
            <w:pPr>
              <w:rPr>
                <w:rStyle w:val="Hyperlink"/>
                <w:color w:val="000000"/>
              </w:rPr>
            </w:pPr>
            <w:hyperlink r:id="rId8" w:history="1">
              <w:r w:rsidR="00216D9E" w:rsidRPr="0063082F">
                <w:rPr>
                  <w:rStyle w:val="Hyperlink"/>
                </w:rPr>
                <w:t>jmalton@oxford.gov.uk</w:t>
              </w:r>
            </w:hyperlink>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62B73EE3">
        <w:tc>
          <w:tcPr>
            <w:tcW w:w="8931" w:type="dxa"/>
            <w:gridSpan w:val="2"/>
            <w:tcBorders>
              <w:top w:val="single" w:sz="4" w:space="0" w:color="auto"/>
              <w:left w:val="single" w:sz="4" w:space="0" w:color="auto"/>
              <w:bottom w:val="single" w:sz="8" w:space="0" w:color="000000" w:themeColor="text1"/>
              <w:right w:val="single" w:sz="4" w:space="0" w:color="auto"/>
            </w:tcBorders>
            <w:shd w:val="clear" w:color="auto" w:fill="auto"/>
          </w:tcPr>
          <w:p w14:paraId="7116CD40" w14:textId="51217B1B" w:rsidR="0093067A" w:rsidRPr="00C17FF2" w:rsidRDefault="282C914F" w:rsidP="00C17FF2">
            <w:r w:rsidRPr="62B73EE3">
              <w:rPr>
                <w:rStyle w:val="Firstpagetablebold"/>
              </w:rPr>
              <w:t xml:space="preserve">Background Papers: </w:t>
            </w:r>
          </w:p>
        </w:tc>
      </w:tr>
      <w:tr w:rsidR="00DF093E" w:rsidRPr="001356F1" w14:paraId="4B513816" w14:textId="77777777" w:rsidTr="62B73EE3">
        <w:tc>
          <w:tcPr>
            <w:tcW w:w="567" w:type="dxa"/>
            <w:tcBorders>
              <w:top w:val="single" w:sz="8" w:space="0" w:color="000000" w:themeColor="text1"/>
              <w:left w:val="single" w:sz="8" w:space="0" w:color="000000" w:themeColor="text1"/>
              <w:bottom w:val="nil"/>
              <w:right w:val="nil"/>
            </w:tcBorders>
            <w:shd w:val="clear" w:color="auto" w:fill="auto"/>
          </w:tcPr>
          <w:p w14:paraId="5C766C7F" w14:textId="77777777" w:rsidR="0093067A" w:rsidRPr="001356F1" w:rsidRDefault="00182B81" w:rsidP="00F41AC1">
            <w:r w:rsidRPr="001356F1">
              <w:t>1</w:t>
            </w:r>
          </w:p>
        </w:tc>
        <w:tc>
          <w:tcPr>
            <w:tcW w:w="8364" w:type="dxa"/>
            <w:tcBorders>
              <w:top w:val="single" w:sz="8" w:space="0" w:color="000000" w:themeColor="text1"/>
              <w:left w:val="nil"/>
              <w:bottom w:val="nil"/>
              <w:right w:val="single" w:sz="8" w:space="0" w:color="000000" w:themeColor="text1"/>
            </w:tcBorders>
          </w:tcPr>
          <w:p w14:paraId="462D1A28" w14:textId="278CE63E" w:rsidR="0093067A" w:rsidRPr="001356F1" w:rsidRDefault="00B44866" w:rsidP="005D0621">
            <w:r>
              <w:t xml:space="preserve">Section 9P </w:t>
            </w:r>
            <w:hyperlink r:id="rId9" w:history="1">
              <w:r w:rsidRPr="00B44866">
                <w:rPr>
                  <w:rStyle w:val="Hyperlink"/>
                </w:rPr>
                <w:t>Local Government Act 2000</w:t>
              </w:r>
            </w:hyperlink>
          </w:p>
        </w:tc>
      </w:tr>
      <w:tr w:rsidR="005570B5" w:rsidRPr="00A46E98" w14:paraId="0EFBD437" w14:textId="77777777" w:rsidTr="62B73EE3">
        <w:tc>
          <w:tcPr>
            <w:tcW w:w="567" w:type="dxa"/>
            <w:tcBorders>
              <w:top w:val="nil"/>
              <w:left w:val="single" w:sz="8" w:space="0" w:color="000000" w:themeColor="text1"/>
              <w:bottom w:val="single" w:sz="8" w:space="0" w:color="000000" w:themeColor="text1"/>
              <w:right w:val="nil"/>
            </w:tcBorders>
            <w:shd w:val="clear" w:color="auto" w:fill="auto"/>
          </w:tcPr>
          <w:p w14:paraId="67643100" w14:textId="3D6B3B1A" w:rsidR="0093067A" w:rsidRPr="00A46E98" w:rsidRDefault="0096270C" w:rsidP="00F41AC1">
            <w:r>
              <w:t>2</w:t>
            </w:r>
          </w:p>
        </w:tc>
        <w:tc>
          <w:tcPr>
            <w:tcW w:w="8364" w:type="dxa"/>
            <w:tcBorders>
              <w:top w:val="nil"/>
              <w:left w:val="nil"/>
              <w:bottom w:val="single" w:sz="8" w:space="0" w:color="000000" w:themeColor="text1"/>
              <w:right w:val="single" w:sz="8" w:space="0" w:color="000000" w:themeColor="text1"/>
            </w:tcBorders>
          </w:tcPr>
          <w:p w14:paraId="09B8BB73" w14:textId="3B8E32AC" w:rsidR="0093067A" w:rsidRPr="00A46E98" w:rsidRDefault="001461A3" w:rsidP="00F41AC1">
            <w:r>
              <w:t xml:space="preserve">Report to Council </w:t>
            </w:r>
            <w:hyperlink r:id="rId10" w:history="1">
              <w:r w:rsidRPr="001461A3">
                <w:rPr>
                  <w:rStyle w:val="Hyperlink"/>
                </w:rPr>
                <w:t>Constitutional Amendments Nov 24 - FINAL.pdf</w:t>
              </w:r>
            </w:hyperlink>
          </w:p>
        </w:tc>
      </w:tr>
    </w:tbl>
    <w:p w14:paraId="1FE671BD" w14:textId="77777777" w:rsidR="004456DD" w:rsidRPr="009E51FC" w:rsidRDefault="004456DD" w:rsidP="0093067A"/>
    <w:sectPr w:rsidR="004456DD" w:rsidRPr="009E51FC" w:rsidSect="002B6836">
      <w:footerReference w:type="even" r:id="rId11"/>
      <w:headerReference w:type="first" r:id="rId12"/>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7B9B" w14:textId="77777777" w:rsidR="008523A8" w:rsidRDefault="008523A8" w:rsidP="004A6D2F">
      <w:r>
        <w:separator/>
      </w:r>
    </w:p>
  </w:endnote>
  <w:endnote w:type="continuationSeparator" w:id="0">
    <w:p w14:paraId="5A2BCD7C" w14:textId="77777777" w:rsidR="008523A8" w:rsidRDefault="008523A8" w:rsidP="004A6D2F">
      <w:r>
        <w:continuationSeparator/>
      </w:r>
    </w:p>
  </w:endnote>
  <w:endnote w:type="continuationNotice" w:id="1">
    <w:p w14:paraId="3A25AD89" w14:textId="77777777" w:rsidR="008523A8" w:rsidRDefault="008523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DCEF" w14:textId="77777777" w:rsidR="008523A8" w:rsidRDefault="008523A8" w:rsidP="004A6D2F">
      <w:r>
        <w:separator/>
      </w:r>
    </w:p>
  </w:footnote>
  <w:footnote w:type="continuationSeparator" w:id="0">
    <w:p w14:paraId="14FA3F6F" w14:textId="77777777" w:rsidR="008523A8" w:rsidRDefault="008523A8" w:rsidP="004A6D2F">
      <w:r>
        <w:continuationSeparator/>
      </w:r>
    </w:p>
  </w:footnote>
  <w:footnote w:type="continuationNotice" w:id="1">
    <w:p w14:paraId="0BDFA616" w14:textId="77777777" w:rsidR="008523A8" w:rsidRDefault="008523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7F751E9"/>
    <w:multiLevelType w:val="hybridMultilevel"/>
    <w:tmpl w:val="9D1842F2"/>
    <w:lvl w:ilvl="0" w:tplc="9AECB6EA">
      <w:start w:val="1"/>
      <w:numFmt w:val="bullet"/>
      <w:pStyle w:val="dBulletpoints"/>
      <w:lvlText w:val=""/>
      <w:lvlJc w:val="left"/>
      <w:pPr>
        <w:ind w:left="2422" w:hanging="360"/>
      </w:pPr>
      <w:rPr>
        <w:rFonts w:ascii="Symbol" w:hAnsi="Symbol" w:hint="default"/>
      </w:rPr>
    </w:lvl>
    <w:lvl w:ilvl="1" w:tplc="08090019">
      <w:start w:val="1"/>
      <w:numFmt w:val="lowerLetter"/>
      <w:lvlText w:val="%2."/>
      <w:lvlJc w:val="left"/>
      <w:pPr>
        <w:ind w:left="3142" w:hanging="360"/>
      </w:pPr>
    </w:lvl>
    <w:lvl w:ilvl="2" w:tplc="0809001B" w:tentative="1">
      <w:start w:val="1"/>
      <w:numFmt w:val="lowerRoman"/>
      <w:lvlText w:val="%3."/>
      <w:lvlJc w:val="right"/>
      <w:pPr>
        <w:ind w:left="3862" w:hanging="180"/>
      </w:pPr>
    </w:lvl>
    <w:lvl w:ilvl="3" w:tplc="0809000F" w:tentative="1">
      <w:start w:val="1"/>
      <w:numFmt w:val="decimal"/>
      <w:lvlText w:val="%4."/>
      <w:lvlJc w:val="left"/>
      <w:pPr>
        <w:ind w:left="4582" w:hanging="360"/>
      </w:pPr>
    </w:lvl>
    <w:lvl w:ilvl="4" w:tplc="08090019" w:tentative="1">
      <w:start w:val="1"/>
      <w:numFmt w:val="lowerLetter"/>
      <w:lvlText w:val="%5."/>
      <w:lvlJc w:val="left"/>
      <w:pPr>
        <w:ind w:left="5302" w:hanging="360"/>
      </w:pPr>
    </w:lvl>
    <w:lvl w:ilvl="5" w:tplc="0809001B" w:tentative="1">
      <w:start w:val="1"/>
      <w:numFmt w:val="lowerRoman"/>
      <w:lvlText w:val="%6."/>
      <w:lvlJc w:val="right"/>
      <w:pPr>
        <w:ind w:left="6022" w:hanging="180"/>
      </w:pPr>
    </w:lvl>
    <w:lvl w:ilvl="6" w:tplc="0809000F" w:tentative="1">
      <w:start w:val="1"/>
      <w:numFmt w:val="decimal"/>
      <w:lvlText w:val="%7."/>
      <w:lvlJc w:val="left"/>
      <w:pPr>
        <w:ind w:left="6742" w:hanging="360"/>
      </w:pPr>
    </w:lvl>
    <w:lvl w:ilvl="7" w:tplc="08090019" w:tentative="1">
      <w:start w:val="1"/>
      <w:numFmt w:val="lowerLetter"/>
      <w:lvlText w:val="%8."/>
      <w:lvlJc w:val="left"/>
      <w:pPr>
        <w:ind w:left="7462" w:hanging="360"/>
      </w:pPr>
    </w:lvl>
    <w:lvl w:ilvl="8" w:tplc="0809001B" w:tentative="1">
      <w:start w:val="1"/>
      <w:numFmt w:val="lowerRoman"/>
      <w:lvlText w:val="%9."/>
      <w:lvlJc w:val="right"/>
      <w:pPr>
        <w:ind w:left="8182" w:hanging="180"/>
      </w:pPr>
    </w:lvl>
  </w:abstractNum>
  <w:abstractNum w:abstractNumId="14" w15:restartNumberingAfterBreak="0">
    <w:nsid w:val="08EA1C25"/>
    <w:multiLevelType w:val="hybridMultilevel"/>
    <w:tmpl w:val="FBAED674"/>
    <w:lvl w:ilvl="0" w:tplc="08090001">
      <w:start w:val="1"/>
      <w:numFmt w:val="bullet"/>
      <w:lvlText w:val=""/>
      <w:lvlJc w:val="left"/>
      <w:pPr>
        <w:ind w:left="360" w:hanging="360"/>
      </w:pPr>
      <w:rPr>
        <w:rFonts w:ascii="Symbol" w:hAnsi="Symbol" w:hint="default"/>
        <w:b w: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AC172C"/>
    <w:multiLevelType w:val="hybridMultilevel"/>
    <w:tmpl w:val="8F3C6522"/>
    <w:lvl w:ilvl="0" w:tplc="55B0BBA2">
      <w:start w:val="1"/>
      <w:numFmt w:val="decimal"/>
      <w:lvlText w:val="%1."/>
      <w:lvlJc w:val="left"/>
      <w:pPr>
        <w:ind w:left="360" w:hanging="360"/>
      </w:pPr>
      <w:rPr>
        <w:rFonts w:hint="default"/>
        <w:b w:val="0"/>
        <w:color w:val="auto"/>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ABA5FD8"/>
    <w:multiLevelType w:val="multilevel"/>
    <w:tmpl w:val="43D6D2FA"/>
    <w:numStyleLink w:val="StyleBulletedSymbolsymbolLeft063cmHanging063cm"/>
  </w:abstractNum>
  <w:abstractNum w:abstractNumId="32"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22831"/>
    <w:multiLevelType w:val="multilevel"/>
    <w:tmpl w:val="43D6D2FA"/>
    <w:numStyleLink w:val="StyleBulletedSymbolsymbolLeft063cmHanging063cm"/>
  </w:abstractNum>
  <w:abstractNum w:abstractNumId="34"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96989"/>
    <w:multiLevelType w:val="singleLevel"/>
    <w:tmpl w:val="0809000F"/>
    <w:lvl w:ilvl="0">
      <w:start w:val="1"/>
      <w:numFmt w:val="decimal"/>
      <w:lvlText w:val="%1."/>
      <w:lvlJc w:val="left"/>
      <w:pPr>
        <w:ind w:left="360" w:hanging="360"/>
      </w:pPr>
      <w:rPr>
        <w:color w:val="000000"/>
        <w:sz w:val="24"/>
      </w:rPr>
    </w:lvl>
  </w:abstractNum>
  <w:abstractNum w:abstractNumId="37"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8365C6"/>
    <w:multiLevelType w:val="multilevel"/>
    <w:tmpl w:val="E67CE66C"/>
    <w:numStyleLink w:val="StyleNumberedLeft0cmHanging075cm"/>
  </w:abstractNum>
  <w:num w:numId="1" w16cid:durableId="2036299310">
    <w:abstractNumId w:val="29"/>
  </w:num>
  <w:num w:numId="2" w16cid:durableId="643705505">
    <w:abstractNumId w:val="35"/>
  </w:num>
  <w:num w:numId="3" w16cid:durableId="1284848424">
    <w:abstractNumId w:val="26"/>
  </w:num>
  <w:num w:numId="4" w16cid:durableId="578908713">
    <w:abstractNumId w:val="20"/>
  </w:num>
  <w:num w:numId="5" w16cid:durableId="54470100">
    <w:abstractNumId w:val="32"/>
  </w:num>
  <w:num w:numId="6" w16cid:durableId="694158268">
    <w:abstractNumId w:val="38"/>
  </w:num>
  <w:num w:numId="7" w16cid:durableId="647516062">
    <w:abstractNumId w:val="25"/>
  </w:num>
  <w:num w:numId="8" w16cid:durableId="1160539719">
    <w:abstractNumId w:val="22"/>
  </w:num>
  <w:num w:numId="9" w16cid:durableId="1862670074">
    <w:abstractNumId w:val="15"/>
  </w:num>
  <w:num w:numId="10" w16cid:durableId="948585193">
    <w:abstractNumId w:val="17"/>
  </w:num>
  <w:num w:numId="11" w16cid:durableId="718482766">
    <w:abstractNumId w:val="28"/>
  </w:num>
  <w:num w:numId="12" w16cid:durableId="164051272">
    <w:abstractNumId w:val="27"/>
  </w:num>
  <w:num w:numId="13" w16cid:durableId="1450854030">
    <w:abstractNumId w:val="10"/>
  </w:num>
  <w:num w:numId="14" w16cid:durableId="373359476">
    <w:abstractNumId w:val="39"/>
  </w:num>
  <w:num w:numId="15" w16cid:durableId="1009412161">
    <w:abstractNumId w:val="18"/>
  </w:num>
  <w:num w:numId="16" w16cid:durableId="2041280933">
    <w:abstractNumId w:val="11"/>
  </w:num>
  <w:num w:numId="17" w16cid:durableId="471220593">
    <w:abstractNumId w:val="31"/>
  </w:num>
  <w:num w:numId="18" w16cid:durableId="1031035851">
    <w:abstractNumId w:val="12"/>
  </w:num>
  <w:num w:numId="19" w16cid:durableId="1402945545">
    <w:abstractNumId w:val="33"/>
  </w:num>
  <w:num w:numId="20" w16cid:durableId="1667248783">
    <w:abstractNumId w:val="19"/>
  </w:num>
  <w:num w:numId="21" w16cid:durableId="1353453069">
    <w:abstractNumId w:val="23"/>
  </w:num>
  <w:num w:numId="22" w16cid:durableId="592667723">
    <w:abstractNumId w:val="16"/>
  </w:num>
  <w:num w:numId="23" w16cid:durableId="37707020">
    <w:abstractNumId w:val="34"/>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7"/>
  </w:num>
  <w:num w:numId="35" w16cid:durableId="1152941978">
    <w:abstractNumId w:val="21"/>
  </w:num>
  <w:num w:numId="36" w16cid:durableId="2006741231">
    <w:abstractNumId w:val="24"/>
  </w:num>
  <w:num w:numId="37" w16cid:durableId="1020403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2209809">
    <w:abstractNumId w:val="30"/>
  </w:num>
  <w:num w:numId="39" w16cid:durableId="1990403783">
    <w:abstractNumId w:val="36"/>
  </w:num>
  <w:num w:numId="40" w16cid:durableId="1880779680">
    <w:abstractNumId w:val="14"/>
  </w:num>
  <w:num w:numId="41" w16cid:durableId="196164553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133F3"/>
    <w:rsid w:val="00025250"/>
    <w:rsid w:val="00027E6F"/>
    <w:rsid w:val="000314D7"/>
    <w:rsid w:val="0003281F"/>
    <w:rsid w:val="00034054"/>
    <w:rsid w:val="00041BEB"/>
    <w:rsid w:val="00045F8B"/>
    <w:rsid w:val="00046D2B"/>
    <w:rsid w:val="00056263"/>
    <w:rsid w:val="00064D8A"/>
    <w:rsid w:val="00064F82"/>
    <w:rsid w:val="00066510"/>
    <w:rsid w:val="00073C05"/>
    <w:rsid w:val="00077523"/>
    <w:rsid w:val="00094F98"/>
    <w:rsid w:val="000A1FB4"/>
    <w:rsid w:val="000A68DB"/>
    <w:rsid w:val="000B1DFC"/>
    <w:rsid w:val="000C089F"/>
    <w:rsid w:val="000C3928"/>
    <w:rsid w:val="000C504F"/>
    <w:rsid w:val="000C538E"/>
    <w:rsid w:val="000C5E8E"/>
    <w:rsid w:val="000E0E40"/>
    <w:rsid w:val="000E47F5"/>
    <w:rsid w:val="000F468C"/>
    <w:rsid w:val="000F4751"/>
    <w:rsid w:val="0010524C"/>
    <w:rsid w:val="00111FB1"/>
    <w:rsid w:val="00113418"/>
    <w:rsid w:val="00127E17"/>
    <w:rsid w:val="001356F1"/>
    <w:rsid w:val="00136994"/>
    <w:rsid w:val="0014128E"/>
    <w:rsid w:val="001461A3"/>
    <w:rsid w:val="00151888"/>
    <w:rsid w:val="00154095"/>
    <w:rsid w:val="00160CEB"/>
    <w:rsid w:val="0016710D"/>
    <w:rsid w:val="00170A2D"/>
    <w:rsid w:val="001808BC"/>
    <w:rsid w:val="00182B81"/>
    <w:rsid w:val="0018619D"/>
    <w:rsid w:val="00190CC0"/>
    <w:rsid w:val="00193B23"/>
    <w:rsid w:val="00194B88"/>
    <w:rsid w:val="001A011E"/>
    <w:rsid w:val="001A066A"/>
    <w:rsid w:val="001A13E6"/>
    <w:rsid w:val="001A5731"/>
    <w:rsid w:val="001A77DA"/>
    <w:rsid w:val="001B2C95"/>
    <w:rsid w:val="001B42C3"/>
    <w:rsid w:val="001C5D5E"/>
    <w:rsid w:val="001D678D"/>
    <w:rsid w:val="001D7ACC"/>
    <w:rsid w:val="001E03F8"/>
    <w:rsid w:val="001E1678"/>
    <w:rsid w:val="001E3376"/>
    <w:rsid w:val="001F418C"/>
    <w:rsid w:val="001F4196"/>
    <w:rsid w:val="001F60FE"/>
    <w:rsid w:val="001F6A4A"/>
    <w:rsid w:val="00200840"/>
    <w:rsid w:val="002069B3"/>
    <w:rsid w:val="002135C6"/>
    <w:rsid w:val="00216D9E"/>
    <w:rsid w:val="002312EA"/>
    <w:rsid w:val="002329CF"/>
    <w:rsid w:val="00232ED0"/>
    <w:rsid w:val="00232F5B"/>
    <w:rsid w:val="002343DC"/>
    <w:rsid w:val="0023565C"/>
    <w:rsid w:val="0024511F"/>
    <w:rsid w:val="00247C29"/>
    <w:rsid w:val="00260467"/>
    <w:rsid w:val="00263EA3"/>
    <w:rsid w:val="00284F85"/>
    <w:rsid w:val="002870C3"/>
    <w:rsid w:val="00287EF2"/>
    <w:rsid w:val="00290915"/>
    <w:rsid w:val="002A22E2"/>
    <w:rsid w:val="002B6836"/>
    <w:rsid w:val="002B6D14"/>
    <w:rsid w:val="002B71D3"/>
    <w:rsid w:val="002C636D"/>
    <w:rsid w:val="002C64F7"/>
    <w:rsid w:val="002D4EF1"/>
    <w:rsid w:val="002D5B60"/>
    <w:rsid w:val="002F0B76"/>
    <w:rsid w:val="002F41F2"/>
    <w:rsid w:val="002F79F4"/>
    <w:rsid w:val="003006C6"/>
    <w:rsid w:val="00301BF3"/>
    <w:rsid w:val="00301FD7"/>
    <w:rsid w:val="0030208D"/>
    <w:rsid w:val="003201C7"/>
    <w:rsid w:val="00323418"/>
    <w:rsid w:val="003331E2"/>
    <w:rsid w:val="003357BF"/>
    <w:rsid w:val="00343726"/>
    <w:rsid w:val="00364FAD"/>
    <w:rsid w:val="0036738F"/>
    <w:rsid w:val="0036759C"/>
    <w:rsid w:val="00367AE5"/>
    <w:rsid w:val="00367D71"/>
    <w:rsid w:val="0038150A"/>
    <w:rsid w:val="003B6E75"/>
    <w:rsid w:val="003B7DA1"/>
    <w:rsid w:val="003C0C15"/>
    <w:rsid w:val="003D0379"/>
    <w:rsid w:val="003D2574"/>
    <w:rsid w:val="003D3C5F"/>
    <w:rsid w:val="003D4C59"/>
    <w:rsid w:val="003D6909"/>
    <w:rsid w:val="003E0D93"/>
    <w:rsid w:val="003E1D5A"/>
    <w:rsid w:val="003F1A52"/>
    <w:rsid w:val="003F4267"/>
    <w:rsid w:val="00400473"/>
    <w:rsid w:val="00400799"/>
    <w:rsid w:val="0040272E"/>
    <w:rsid w:val="00404032"/>
    <w:rsid w:val="0040586A"/>
    <w:rsid w:val="00406433"/>
    <w:rsid w:val="0040736F"/>
    <w:rsid w:val="004077CA"/>
    <w:rsid w:val="00412C1F"/>
    <w:rsid w:val="0042075B"/>
    <w:rsid w:val="00421CB2"/>
    <w:rsid w:val="004234E1"/>
    <w:rsid w:val="004268B9"/>
    <w:rsid w:val="00433B96"/>
    <w:rsid w:val="00442B7B"/>
    <w:rsid w:val="004440F1"/>
    <w:rsid w:val="004456DD"/>
    <w:rsid w:val="00446CDF"/>
    <w:rsid w:val="004521B7"/>
    <w:rsid w:val="00453C31"/>
    <w:rsid w:val="004548E0"/>
    <w:rsid w:val="00462AB5"/>
    <w:rsid w:val="00462D22"/>
    <w:rsid w:val="00465EAF"/>
    <w:rsid w:val="00467D01"/>
    <w:rsid w:val="004738C5"/>
    <w:rsid w:val="0047737B"/>
    <w:rsid w:val="00491046"/>
    <w:rsid w:val="00496078"/>
    <w:rsid w:val="004A290F"/>
    <w:rsid w:val="004A2AC7"/>
    <w:rsid w:val="004A6D2F"/>
    <w:rsid w:val="004B05EB"/>
    <w:rsid w:val="004B11AE"/>
    <w:rsid w:val="004B4D23"/>
    <w:rsid w:val="004C2887"/>
    <w:rsid w:val="004C2945"/>
    <w:rsid w:val="004C4D99"/>
    <w:rsid w:val="004D2626"/>
    <w:rsid w:val="004D6E26"/>
    <w:rsid w:val="004D77D3"/>
    <w:rsid w:val="004E2641"/>
    <w:rsid w:val="004E2959"/>
    <w:rsid w:val="004F20EF"/>
    <w:rsid w:val="00501536"/>
    <w:rsid w:val="0050321C"/>
    <w:rsid w:val="00507ECC"/>
    <w:rsid w:val="00513BCB"/>
    <w:rsid w:val="00515483"/>
    <w:rsid w:val="0052325A"/>
    <w:rsid w:val="00536663"/>
    <w:rsid w:val="005414E2"/>
    <w:rsid w:val="00545D98"/>
    <w:rsid w:val="0054712D"/>
    <w:rsid w:val="00547EF6"/>
    <w:rsid w:val="00552CBC"/>
    <w:rsid w:val="005570B5"/>
    <w:rsid w:val="00562F3F"/>
    <w:rsid w:val="00567E18"/>
    <w:rsid w:val="00574E3F"/>
    <w:rsid w:val="00575F5F"/>
    <w:rsid w:val="00581805"/>
    <w:rsid w:val="005841EA"/>
    <w:rsid w:val="00585F76"/>
    <w:rsid w:val="005942A1"/>
    <w:rsid w:val="00594888"/>
    <w:rsid w:val="005A34E4"/>
    <w:rsid w:val="005A39AF"/>
    <w:rsid w:val="005A6610"/>
    <w:rsid w:val="005B17F2"/>
    <w:rsid w:val="005B7587"/>
    <w:rsid w:val="005B7FB0"/>
    <w:rsid w:val="005C35A5"/>
    <w:rsid w:val="005C577C"/>
    <w:rsid w:val="005D0621"/>
    <w:rsid w:val="005D1E27"/>
    <w:rsid w:val="005D2A3E"/>
    <w:rsid w:val="005D62A1"/>
    <w:rsid w:val="005D777B"/>
    <w:rsid w:val="005E022E"/>
    <w:rsid w:val="005E5215"/>
    <w:rsid w:val="005E62CE"/>
    <w:rsid w:val="005F4D27"/>
    <w:rsid w:val="005F5184"/>
    <w:rsid w:val="005F7F7E"/>
    <w:rsid w:val="006007A7"/>
    <w:rsid w:val="00607517"/>
    <w:rsid w:val="00614693"/>
    <w:rsid w:val="00623C2F"/>
    <w:rsid w:val="00630C67"/>
    <w:rsid w:val="00633578"/>
    <w:rsid w:val="0063457E"/>
    <w:rsid w:val="00637068"/>
    <w:rsid w:val="006419CA"/>
    <w:rsid w:val="00650811"/>
    <w:rsid w:val="00655339"/>
    <w:rsid w:val="006557D9"/>
    <w:rsid w:val="0065595F"/>
    <w:rsid w:val="00655983"/>
    <w:rsid w:val="00661D3E"/>
    <w:rsid w:val="00692627"/>
    <w:rsid w:val="006969E7"/>
    <w:rsid w:val="006A16DD"/>
    <w:rsid w:val="006A3643"/>
    <w:rsid w:val="006A4A2E"/>
    <w:rsid w:val="006B10C2"/>
    <w:rsid w:val="006C2A29"/>
    <w:rsid w:val="006C64CF"/>
    <w:rsid w:val="006D17B1"/>
    <w:rsid w:val="006D4752"/>
    <w:rsid w:val="006D708A"/>
    <w:rsid w:val="006E14C1"/>
    <w:rsid w:val="006E3605"/>
    <w:rsid w:val="006E4A68"/>
    <w:rsid w:val="006F0292"/>
    <w:rsid w:val="006F27FA"/>
    <w:rsid w:val="006F2B7C"/>
    <w:rsid w:val="006F416B"/>
    <w:rsid w:val="006F519B"/>
    <w:rsid w:val="006F5ADA"/>
    <w:rsid w:val="00713675"/>
    <w:rsid w:val="00715823"/>
    <w:rsid w:val="00722865"/>
    <w:rsid w:val="0072449C"/>
    <w:rsid w:val="007253EF"/>
    <w:rsid w:val="00732886"/>
    <w:rsid w:val="007329BB"/>
    <w:rsid w:val="0073689E"/>
    <w:rsid w:val="00737B93"/>
    <w:rsid w:val="00745BF0"/>
    <w:rsid w:val="00751EA3"/>
    <w:rsid w:val="007541B3"/>
    <w:rsid w:val="007615FE"/>
    <w:rsid w:val="007634C0"/>
    <w:rsid w:val="00764C8B"/>
    <w:rsid w:val="0076655C"/>
    <w:rsid w:val="007742DC"/>
    <w:rsid w:val="007834F0"/>
    <w:rsid w:val="00791437"/>
    <w:rsid w:val="007A2503"/>
    <w:rsid w:val="007B0C2C"/>
    <w:rsid w:val="007B278E"/>
    <w:rsid w:val="007B2DE2"/>
    <w:rsid w:val="007B49CD"/>
    <w:rsid w:val="007B5CA2"/>
    <w:rsid w:val="007B76B8"/>
    <w:rsid w:val="007C5C23"/>
    <w:rsid w:val="007C7BEE"/>
    <w:rsid w:val="007E03EB"/>
    <w:rsid w:val="007E1734"/>
    <w:rsid w:val="007E2A26"/>
    <w:rsid w:val="007E7DDF"/>
    <w:rsid w:val="007F2348"/>
    <w:rsid w:val="007F4757"/>
    <w:rsid w:val="00800BDD"/>
    <w:rsid w:val="00801506"/>
    <w:rsid w:val="00803F07"/>
    <w:rsid w:val="0080749A"/>
    <w:rsid w:val="00811B51"/>
    <w:rsid w:val="00820655"/>
    <w:rsid w:val="00821FB8"/>
    <w:rsid w:val="00822693"/>
    <w:rsid w:val="00822ACD"/>
    <w:rsid w:val="008523A8"/>
    <w:rsid w:val="0085292E"/>
    <w:rsid w:val="00854888"/>
    <w:rsid w:val="00855C66"/>
    <w:rsid w:val="008576E6"/>
    <w:rsid w:val="00862EA8"/>
    <w:rsid w:val="00871EE4"/>
    <w:rsid w:val="008954DF"/>
    <w:rsid w:val="00896D9B"/>
    <w:rsid w:val="00897D8A"/>
    <w:rsid w:val="008A3AE5"/>
    <w:rsid w:val="008B097B"/>
    <w:rsid w:val="008B15DC"/>
    <w:rsid w:val="008B293F"/>
    <w:rsid w:val="008B353B"/>
    <w:rsid w:val="008B6055"/>
    <w:rsid w:val="008B7371"/>
    <w:rsid w:val="008D3DDB"/>
    <w:rsid w:val="008F3B04"/>
    <w:rsid w:val="008F573F"/>
    <w:rsid w:val="009034EC"/>
    <w:rsid w:val="00920744"/>
    <w:rsid w:val="00923481"/>
    <w:rsid w:val="009247A8"/>
    <w:rsid w:val="0093067A"/>
    <w:rsid w:val="00941C60"/>
    <w:rsid w:val="00941FD1"/>
    <w:rsid w:val="00950824"/>
    <w:rsid w:val="009606CC"/>
    <w:rsid w:val="0096270C"/>
    <w:rsid w:val="00966D42"/>
    <w:rsid w:val="00971689"/>
    <w:rsid w:val="0097170F"/>
    <w:rsid w:val="00973E90"/>
    <w:rsid w:val="00975B07"/>
    <w:rsid w:val="00977ADD"/>
    <w:rsid w:val="00980B4A"/>
    <w:rsid w:val="00982041"/>
    <w:rsid w:val="009A2CB4"/>
    <w:rsid w:val="009A5B52"/>
    <w:rsid w:val="009B3E8A"/>
    <w:rsid w:val="009B411E"/>
    <w:rsid w:val="009B5957"/>
    <w:rsid w:val="009E04DF"/>
    <w:rsid w:val="009E2BB6"/>
    <w:rsid w:val="009E30E2"/>
    <w:rsid w:val="009E3D0A"/>
    <w:rsid w:val="009E51FC"/>
    <w:rsid w:val="009F1D28"/>
    <w:rsid w:val="009F4149"/>
    <w:rsid w:val="009F7618"/>
    <w:rsid w:val="00A02C93"/>
    <w:rsid w:val="00A04D23"/>
    <w:rsid w:val="00A06766"/>
    <w:rsid w:val="00A13765"/>
    <w:rsid w:val="00A161A4"/>
    <w:rsid w:val="00A21B12"/>
    <w:rsid w:val="00A23E9B"/>
    <w:rsid w:val="00A23F80"/>
    <w:rsid w:val="00A46E98"/>
    <w:rsid w:val="00A521D4"/>
    <w:rsid w:val="00A6352B"/>
    <w:rsid w:val="00A701B5"/>
    <w:rsid w:val="00A714BB"/>
    <w:rsid w:val="00A77147"/>
    <w:rsid w:val="00A92D8F"/>
    <w:rsid w:val="00A95F83"/>
    <w:rsid w:val="00AA1F56"/>
    <w:rsid w:val="00AA37B6"/>
    <w:rsid w:val="00AB2988"/>
    <w:rsid w:val="00AB7999"/>
    <w:rsid w:val="00AD3292"/>
    <w:rsid w:val="00AE1684"/>
    <w:rsid w:val="00AE444F"/>
    <w:rsid w:val="00AE7AF0"/>
    <w:rsid w:val="00AF526C"/>
    <w:rsid w:val="00B11221"/>
    <w:rsid w:val="00B13E0E"/>
    <w:rsid w:val="00B153E1"/>
    <w:rsid w:val="00B372C2"/>
    <w:rsid w:val="00B37EC4"/>
    <w:rsid w:val="00B44866"/>
    <w:rsid w:val="00B500CA"/>
    <w:rsid w:val="00B86314"/>
    <w:rsid w:val="00B91B0C"/>
    <w:rsid w:val="00BA1C2E"/>
    <w:rsid w:val="00BA37B1"/>
    <w:rsid w:val="00BB7509"/>
    <w:rsid w:val="00BC200B"/>
    <w:rsid w:val="00BC4756"/>
    <w:rsid w:val="00BC69A4"/>
    <w:rsid w:val="00BD6181"/>
    <w:rsid w:val="00BD77A8"/>
    <w:rsid w:val="00BE0680"/>
    <w:rsid w:val="00BE305F"/>
    <w:rsid w:val="00BE6FF1"/>
    <w:rsid w:val="00BE7BA3"/>
    <w:rsid w:val="00BF5682"/>
    <w:rsid w:val="00BF7B09"/>
    <w:rsid w:val="00C02151"/>
    <w:rsid w:val="00C05260"/>
    <w:rsid w:val="00C07020"/>
    <w:rsid w:val="00C076B9"/>
    <w:rsid w:val="00C16B47"/>
    <w:rsid w:val="00C17FF2"/>
    <w:rsid w:val="00C20A95"/>
    <w:rsid w:val="00C2692F"/>
    <w:rsid w:val="00C3207C"/>
    <w:rsid w:val="00C3618D"/>
    <w:rsid w:val="00C400E1"/>
    <w:rsid w:val="00C41187"/>
    <w:rsid w:val="00C414FD"/>
    <w:rsid w:val="00C63C31"/>
    <w:rsid w:val="00C757A0"/>
    <w:rsid w:val="00C760DE"/>
    <w:rsid w:val="00C80EA3"/>
    <w:rsid w:val="00C82630"/>
    <w:rsid w:val="00C85B4E"/>
    <w:rsid w:val="00C907F7"/>
    <w:rsid w:val="00C9158E"/>
    <w:rsid w:val="00CA2103"/>
    <w:rsid w:val="00CB21E8"/>
    <w:rsid w:val="00CB2424"/>
    <w:rsid w:val="00CB51FE"/>
    <w:rsid w:val="00CB6B99"/>
    <w:rsid w:val="00CD6D88"/>
    <w:rsid w:val="00CE4C87"/>
    <w:rsid w:val="00CE544A"/>
    <w:rsid w:val="00CF7E2A"/>
    <w:rsid w:val="00D11E1C"/>
    <w:rsid w:val="00D1369A"/>
    <w:rsid w:val="00D160B0"/>
    <w:rsid w:val="00D17F94"/>
    <w:rsid w:val="00D223FC"/>
    <w:rsid w:val="00D26D1E"/>
    <w:rsid w:val="00D27037"/>
    <w:rsid w:val="00D30C99"/>
    <w:rsid w:val="00D35B92"/>
    <w:rsid w:val="00D40367"/>
    <w:rsid w:val="00D442A1"/>
    <w:rsid w:val="00D474CF"/>
    <w:rsid w:val="00D5547E"/>
    <w:rsid w:val="00D73127"/>
    <w:rsid w:val="00D75419"/>
    <w:rsid w:val="00D75F18"/>
    <w:rsid w:val="00D860E2"/>
    <w:rsid w:val="00D869A1"/>
    <w:rsid w:val="00D91D10"/>
    <w:rsid w:val="00D9632C"/>
    <w:rsid w:val="00DA413F"/>
    <w:rsid w:val="00DA4584"/>
    <w:rsid w:val="00DA4B6F"/>
    <w:rsid w:val="00DA614B"/>
    <w:rsid w:val="00DB0E74"/>
    <w:rsid w:val="00DB54C3"/>
    <w:rsid w:val="00DB7AD7"/>
    <w:rsid w:val="00DC3060"/>
    <w:rsid w:val="00DD39E8"/>
    <w:rsid w:val="00DE0FB2"/>
    <w:rsid w:val="00DF093E"/>
    <w:rsid w:val="00DF6AE1"/>
    <w:rsid w:val="00DF75D0"/>
    <w:rsid w:val="00DF7BA9"/>
    <w:rsid w:val="00E01F42"/>
    <w:rsid w:val="00E04121"/>
    <w:rsid w:val="00E16DE5"/>
    <w:rsid w:val="00E17DF1"/>
    <w:rsid w:val="00E206D6"/>
    <w:rsid w:val="00E3322B"/>
    <w:rsid w:val="00E3366E"/>
    <w:rsid w:val="00E52086"/>
    <w:rsid w:val="00E543A6"/>
    <w:rsid w:val="00E60479"/>
    <w:rsid w:val="00E60EF0"/>
    <w:rsid w:val="00E61D73"/>
    <w:rsid w:val="00E65EE5"/>
    <w:rsid w:val="00E66D28"/>
    <w:rsid w:val="00E73684"/>
    <w:rsid w:val="00E818D6"/>
    <w:rsid w:val="00E81C22"/>
    <w:rsid w:val="00E87F7A"/>
    <w:rsid w:val="00E94B3E"/>
    <w:rsid w:val="00E96BD7"/>
    <w:rsid w:val="00E96F81"/>
    <w:rsid w:val="00EA0DB1"/>
    <w:rsid w:val="00EA0EE9"/>
    <w:rsid w:val="00EA17BA"/>
    <w:rsid w:val="00EB2589"/>
    <w:rsid w:val="00EB6A67"/>
    <w:rsid w:val="00EB7E90"/>
    <w:rsid w:val="00ED0977"/>
    <w:rsid w:val="00ED52CA"/>
    <w:rsid w:val="00ED5860"/>
    <w:rsid w:val="00EE35C9"/>
    <w:rsid w:val="00EF0D62"/>
    <w:rsid w:val="00F05ECA"/>
    <w:rsid w:val="00F13C72"/>
    <w:rsid w:val="00F22513"/>
    <w:rsid w:val="00F26E21"/>
    <w:rsid w:val="00F3566E"/>
    <w:rsid w:val="00F375FB"/>
    <w:rsid w:val="00F41AC1"/>
    <w:rsid w:val="00F4367A"/>
    <w:rsid w:val="00F445B1"/>
    <w:rsid w:val="00F45CD4"/>
    <w:rsid w:val="00F6104C"/>
    <w:rsid w:val="00F651DB"/>
    <w:rsid w:val="00F66DCA"/>
    <w:rsid w:val="00F74F53"/>
    <w:rsid w:val="00F7606D"/>
    <w:rsid w:val="00F81670"/>
    <w:rsid w:val="00F82024"/>
    <w:rsid w:val="00F865A3"/>
    <w:rsid w:val="00F92164"/>
    <w:rsid w:val="00F95BC9"/>
    <w:rsid w:val="00FA624C"/>
    <w:rsid w:val="00FB23D5"/>
    <w:rsid w:val="00FB3B71"/>
    <w:rsid w:val="00FB3DB0"/>
    <w:rsid w:val="00FB59A6"/>
    <w:rsid w:val="00FD0FAC"/>
    <w:rsid w:val="00FD15C9"/>
    <w:rsid w:val="00FD1DFA"/>
    <w:rsid w:val="00FD4966"/>
    <w:rsid w:val="00FE57DC"/>
    <w:rsid w:val="00FF095A"/>
    <w:rsid w:val="00FF2FDB"/>
    <w:rsid w:val="05B94C3D"/>
    <w:rsid w:val="07D434D5"/>
    <w:rsid w:val="0AEAD29A"/>
    <w:rsid w:val="0B89A7FD"/>
    <w:rsid w:val="0E137018"/>
    <w:rsid w:val="0ECD8498"/>
    <w:rsid w:val="0FB9297F"/>
    <w:rsid w:val="11DE2519"/>
    <w:rsid w:val="150E6135"/>
    <w:rsid w:val="16C788FA"/>
    <w:rsid w:val="187CEEE6"/>
    <w:rsid w:val="18B12936"/>
    <w:rsid w:val="1B71AFA0"/>
    <w:rsid w:val="1BC0B843"/>
    <w:rsid w:val="1BDE6ACD"/>
    <w:rsid w:val="1C62DB68"/>
    <w:rsid w:val="1E2AA5CE"/>
    <w:rsid w:val="22F0553C"/>
    <w:rsid w:val="238A6E87"/>
    <w:rsid w:val="24AA93AA"/>
    <w:rsid w:val="25C8DF4C"/>
    <w:rsid w:val="27395084"/>
    <w:rsid w:val="278ACBEA"/>
    <w:rsid w:val="282C914F"/>
    <w:rsid w:val="2875A525"/>
    <w:rsid w:val="29894939"/>
    <w:rsid w:val="2DC2B855"/>
    <w:rsid w:val="2E9F7FB8"/>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BD7E5A"/>
    <w:rsid w:val="54ECCD71"/>
    <w:rsid w:val="562DCFA1"/>
    <w:rsid w:val="571C62E4"/>
    <w:rsid w:val="58C16BAB"/>
    <w:rsid w:val="594FB190"/>
    <w:rsid w:val="5C2301F2"/>
    <w:rsid w:val="5CD2A867"/>
    <w:rsid w:val="5CED5152"/>
    <w:rsid w:val="5D0EC0A9"/>
    <w:rsid w:val="5D6EE46E"/>
    <w:rsid w:val="5DE62121"/>
    <w:rsid w:val="60B35EF8"/>
    <w:rsid w:val="613D2893"/>
    <w:rsid w:val="62B73EE3"/>
    <w:rsid w:val="636BDC7A"/>
    <w:rsid w:val="69E55F8E"/>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216D9E"/>
    <w:rPr>
      <w:color w:val="605E5C"/>
      <w:shd w:val="clear" w:color="auto" w:fill="E1DFDD"/>
    </w:rPr>
  </w:style>
  <w:style w:type="paragraph" w:customStyle="1" w:styleId="dBulletpoints">
    <w:name w:val="dBullet points"/>
    <w:basedOn w:val="Normal"/>
    <w:qFormat/>
    <w:rsid w:val="003F1A52"/>
    <w:pPr>
      <w:numPr>
        <w:numId w:val="41"/>
      </w:numPr>
      <w:spacing w:before="120" w:after="0"/>
      <w:ind w:left="1276" w:hanging="284"/>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lton@oxford.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ycouncil.oxford.gov.uk/documents/s81394/Constitutional%20Amendments%20Nov%2024%20-%20FINAL.pdf" TargetMode="External"/><Relationship Id="rId4" Type="http://schemas.openxmlformats.org/officeDocument/2006/relationships/settings" Target="settings.xml"/><Relationship Id="rId9" Type="http://schemas.openxmlformats.org/officeDocument/2006/relationships/hyperlink" Target="https://www.legislation.gov.uk/ukpga/2000/22/section/9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1432</Words>
  <Characters>8169</Characters>
  <Application>Microsoft Office Word</Application>
  <DocSecurity>0</DocSecurity>
  <Lines>68</Lines>
  <Paragraphs>19</Paragraphs>
  <ScaleCrop>false</ScaleCrop>
  <Company>Oxford City Council</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170</cp:revision>
  <cp:lastPrinted>2015-07-03T13:50:00Z</cp:lastPrinted>
  <dcterms:created xsi:type="dcterms:W3CDTF">2024-12-10T08:38:00Z</dcterms:created>
  <dcterms:modified xsi:type="dcterms:W3CDTF">2025-07-04T13:49:00Z</dcterms:modified>
  <cp:category>Report to Council or Committee</cp:category>
</cp:coreProperties>
</file>